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DB31" w14:textId="2440072C" w:rsidR="00F415AD" w:rsidRPr="00FB5BC9" w:rsidRDefault="00F415AD" w:rsidP="00F415AD">
      <w:pPr>
        <w:rPr>
          <w:b/>
          <w:bCs/>
          <w:i/>
          <w:iCs/>
        </w:rPr>
      </w:pPr>
      <w:r w:rsidRPr="00FB5BC9">
        <w:rPr>
          <w:b/>
          <w:bCs/>
          <w:i/>
          <w:iCs/>
        </w:rPr>
        <w:t>Supplementary Material</w:t>
      </w:r>
    </w:p>
    <w:p w14:paraId="29BB08AA" w14:textId="2AB066DC" w:rsidR="00F415AD" w:rsidRDefault="00F415AD" w:rsidP="00F415AD">
      <w:pPr>
        <w:rPr>
          <w:sz w:val="36"/>
          <w:szCs w:val="36"/>
        </w:rPr>
      </w:pPr>
      <w:r>
        <w:rPr>
          <w:sz w:val="36"/>
          <w:szCs w:val="36"/>
        </w:rPr>
        <w:t>High Sensitivity Troponin T and NT-</w:t>
      </w:r>
      <w:proofErr w:type="spellStart"/>
      <w:r>
        <w:rPr>
          <w:sz w:val="36"/>
          <w:szCs w:val="36"/>
        </w:rPr>
        <w:t>proBNP</w:t>
      </w:r>
      <w:proofErr w:type="spellEnd"/>
      <w:r>
        <w:rPr>
          <w:sz w:val="36"/>
          <w:szCs w:val="36"/>
        </w:rPr>
        <w:t xml:space="preserve"> in Patients Receiving Chimeric Antigen Receptor (CAR) T-Cell Therapy</w:t>
      </w:r>
    </w:p>
    <w:p w14:paraId="0748384E" w14:textId="3152366E" w:rsidR="00F415AD" w:rsidRDefault="00F415AD" w:rsidP="00F415AD">
      <w:r>
        <w:t>Jiun-Ruey Hu, MD, MPH</w:t>
      </w:r>
      <w:r>
        <w:rPr>
          <w:vertAlign w:val="superscript"/>
        </w:rPr>
        <w:t>1</w:t>
      </w:r>
      <w:r w:rsidR="00011C8B">
        <w:rPr>
          <w:vertAlign w:val="superscript"/>
        </w:rPr>
        <w:t>,2</w:t>
      </w:r>
      <w:r>
        <w:t xml:space="preserve">, </w:t>
      </w:r>
      <w:proofErr w:type="spellStart"/>
      <w:r>
        <w:t>Ameet</w:t>
      </w:r>
      <w:proofErr w:type="spellEnd"/>
      <w:r>
        <w:t xml:space="preserve"> Patel, MD</w:t>
      </w:r>
      <w:r w:rsidR="00011C8B">
        <w:rPr>
          <w:vertAlign w:val="superscript"/>
        </w:rPr>
        <w:t>3</w:t>
      </w:r>
      <w:r>
        <w:t>, Shi Huang, PhD</w:t>
      </w:r>
      <w:r>
        <w:rPr>
          <w:vertAlign w:val="superscript"/>
        </w:rPr>
        <w:t>1</w:t>
      </w:r>
      <w:r>
        <w:t>, Yan Ru Su, MD</w:t>
      </w:r>
      <w:r>
        <w:rPr>
          <w:vertAlign w:val="superscript"/>
        </w:rPr>
        <w:t>1</w:t>
      </w:r>
      <w:r>
        <w:t xml:space="preserve">, Kimberly B. </w:t>
      </w:r>
      <w:proofErr w:type="spellStart"/>
      <w:r>
        <w:t>Dahlman</w:t>
      </w:r>
      <w:proofErr w:type="spellEnd"/>
      <w:r>
        <w:t>, PhD</w:t>
      </w:r>
      <w:r w:rsidR="00011C8B">
        <w:rPr>
          <w:vertAlign w:val="superscript"/>
        </w:rPr>
        <w:t>3</w:t>
      </w:r>
      <w:r>
        <w:t xml:space="preserve">, Kelsey </w:t>
      </w:r>
      <w:proofErr w:type="spellStart"/>
      <w:r>
        <w:t>Tomasek</w:t>
      </w:r>
      <w:proofErr w:type="spellEnd"/>
      <w:r>
        <w:t>, BS</w:t>
      </w:r>
      <w:r>
        <w:rPr>
          <w:vertAlign w:val="superscript"/>
        </w:rPr>
        <w:t>1</w:t>
      </w:r>
      <w:r>
        <w:t xml:space="preserve">, </w:t>
      </w:r>
      <w:proofErr w:type="spellStart"/>
      <w:r>
        <w:t>Yueli</w:t>
      </w:r>
      <w:proofErr w:type="spellEnd"/>
      <w:r>
        <w:t xml:space="preserve"> Zhang, BS</w:t>
      </w:r>
      <w:r>
        <w:rPr>
          <w:vertAlign w:val="superscript"/>
        </w:rPr>
        <w:t>1</w:t>
      </w:r>
      <w:r>
        <w:t>, Richard T. O’Neil, PhD</w:t>
      </w:r>
      <w:r w:rsidR="00011C8B">
        <w:rPr>
          <w:vertAlign w:val="superscript"/>
        </w:rPr>
        <w:t>4</w:t>
      </w:r>
      <w:r>
        <w:t xml:space="preserve">, </w:t>
      </w:r>
      <w:proofErr w:type="spellStart"/>
      <w:r>
        <w:t>Jamye</w:t>
      </w:r>
      <w:proofErr w:type="spellEnd"/>
      <w:r>
        <w:t xml:space="preserve"> F. O’Neal, BS</w:t>
      </w:r>
      <w:r w:rsidR="00011C8B">
        <w:rPr>
          <w:vertAlign w:val="superscript"/>
        </w:rPr>
        <w:t>5</w:t>
      </w:r>
      <w:r>
        <w:t xml:space="preserve">, </w:t>
      </w:r>
      <w:proofErr w:type="spellStart"/>
      <w:r>
        <w:t>Isik</w:t>
      </w:r>
      <w:proofErr w:type="spellEnd"/>
      <w:r>
        <w:t xml:space="preserve"> </w:t>
      </w:r>
      <w:proofErr w:type="spellStart"/>
      <w:r>
        <w:t>Turker</w:t>
      </w:r>
      <w:proofErr w:type="spellEnd"/>
      <w:r>
        <w:t>, MD</w:t>
      </w:r>
      <w:r>
        <w:rPr>
          <w:vertAlign w:val="superscript"/>
        </w:rPr>
        <w:t>1</w:t>
      </w:r>
      <w:r>
        <w:t>, Douglas B. Johnson, MD, MSCI</w:t>
      </w:r>
      <w:r w:rsidR="00011C8B">
        <w:rPr>
          <w:vertAlign w:val="superscript"/>
        </w:rPr>
        <w:t>3</w:t>
      </w:r>
      <w:r>
        <w:t>, Joe-Elie Salem, MD, PhD</w:t>
      </w:r>
      <w:r w:rsidR="00011C8B">
        <w:rPr>
          <w:vertAlign w:val="superscript"/>
        </w:rPr>
        <w:t>6</w:t>
      </w:r>
      <w:r>
        <w:rPr>
          <w:vertAlign w:val="superscript"/>
        </w:rPr>
        <w:t>,</w:t>
      </w:r>
      <w:r w:rsidR="00011C8B">
        <w:rPr>
          <w:vertAlign w:val="superscript"/>
        </w:rPr>
        <w:t>7</w:t>
      </w:r>
      <w:r>
        <w:t>, Javid J. Moslehi, MD</w:t>
      </w:r>
      <w:r>
        <w:rPr>
          <w:vertAlign w:val="superscript"/>
        </w:rPr>
        <w:t>1,</w:t>
      </w:r>
      <w:r w:rsidR="00011C8B">
        <w:rPr>
          <w:vertAlign w:val="superscript"/>
        </w:rPr>
        <w:t>7</w:t>
      </w:r>
      <w:r>
        <w:t>, Olalekan Oluwole, MBBS, MPH</w:t>
      </w:r>
      <w:r w:rsidR="00011C8B">
        <w:rPr>
          <w:vertAlign w:val="superscript"/>
        </w:rPr>
        <w:t>3</w:t>
      </w:r>
    </w:p>
    <w:p w14:paraId="78A4B3F1" w14:textId="11B1B03D" w:rsidR="00F415AD" w:rsidRDefault="00F415AD" w:rsidP="00F415AD">
      <w:pPr>
        <w:pStyle w:val="ListParagraph"/>
        <w:numPr>
          <w:ilvl w:val="0"/>
          <w:numId w:val="1"/>
        </w:numPr>
      </w:pPr>
      <w:r>
        <w:t>Division of Cardiovascular Medicine, Vanderbilt University Medical Center, Nashville, TN</w:t>
      </w:r>
    </w:p>
    <w:p w14:paraId="68C2C024" w14:textId="7A17F4B1" w:rsidR="0000357E" w:rsidRDefault="0000357E" w:rsidP="00F415AD">
      <w:pPr>
        <w:pStyle w:val="ListParagraph"/>
        <w:numPr>
          <w:ilvl w:val="0"/>
          <w:numId w:val="1"/>
        </w:numPr>
      </w:pPr>
      <w:r>
        <w:t>Division of Cardiovascular Medicine, Yale School of Medicine, New Haven, CT</w:t>
      </w:r>
    </w:p>
    <w:p w14:paraId="619819D0" w14:textId="77777777" w:rsidR="00F415AD" w:rsidRDefault="00F415AD" w:rsidP="00F415AD">
      <w:pPr>
        <w:pStyle w:val="ListParagraph"/>
        <w:numPr>
          <w:ilvl w:val="0"/>
          <w:numId w:val="1"/>
        </w:numPr>
      </w:pPr>
      <w:r>
        <w:t>Division of Hematology/Oncology, Vanderbilt University Medical Center, Nashville, TN</w:t>
      </w:r>
    </w:p>
    <w:p w14:paraId="232324BE" w14:textId="77777777" w:rsidR="00F415AD" w:rsidRDefault="00F415AD" w:rsidP="00F415AD">
      <w:pPr>
        <w:pStyle w:val="ListParagraph"/>
        <w:numPr>
          <w:ilvl w:val="0"/>
          <w:numId w:val="1"/>
        </w:numPr>
      </w:pPr>
      <w:r>
        <w:t>Division of Nephrology and Hypertension, Vanderbilt University Medical Center, Nashville, TN</w:t>
      </w:r>
    </w:p>
    <w:p w14:paraId="1645613F" w14:textId="77777777" w:rsidR="00F415AD" w:rsidRDefault="00F415AD" w:rsidP="00F415AD">
      <w:pPr>
        <w:pStyle w:val="ListParagraph"/>
        <w:numPr>
          <w:ilvl w:val="0"/>
          <w:numId w:val="1"/>
        </w:numPr>
      </w:pPr>
      <w:r>
        <w:t>Vanderbilt Ingram Cancer Center, Vanderbilt University Medical Center, Nashville, TN</w:t>
      </w:r>
    </w:p>
    <w:p w14:paraId="7EB067A7" w14:textId="77777777" w:rsidR="00F415AD" w:rsidRDefault="00F415AD" w:rsidP="00F415AD">
      <w:pPr>
        <w:pStyle w:val="ListParagraph"/>
        <w:numPr>
          <w:ilvl w:val="0"/>
          <w:numId w:val="1"/>
        </w:numPr>
      </w:pPr>
      <w:r>
        <w:t xml:space="preserve">Department of Pharmacology, AP-HP, </w:t>
      </w:r>
      <w:proofErr w:type="spellStart"/>
      <w:r>
        <w:t>Pitié-Salpêtrière</w:t>
      </w:r>
      <w:proofErr w:type="spellEnd"/>
      <w:r>
        <w:t xml:space="preserve"> Hospital, Paris, France</w:t>
      </w:r>
    </w:p>
    <w:p w14:paraId="50857398" w14:textId="77777777" w:rsidR="00F415AD" w:rsidRDefault="00F415AD" w:rsidP="00F415AD">
      <w:pPr>
        <w:pStyle w:val="ListParagraph"/>
        <w:numPr>
          <w:ilvl w:val="0"/>
          <w:numId w:val="1"/>
        </w:numPr>
      </w:pPr>
      <w:r>
        <w:t>Cardio-Oncology Program, Vanderbilt University Medical Center, Nashville, TN</w:t>
      </w:r>
    </w:p>
    <w:p w14:paraId="604A5541" w14:textId="77777777" w:rsidR="00B12FA1" w:rsidRDefault="00B12FA1"/>
    <w:p w14:paraId="5104C49A" w14:textId="77777777" w:rsidR="00B12FA1" w:rsidRPr="00DB0636" w:rsidRDefault="00B12FA1">
      <w:pPr>
        <w:rPr>
          <w:i/>
          <w:iCs/>
          <w:u w:val="single"/>
        </w:rPr>
      </w:pPr>
      <w:r w:rsidRPr="00DB0636">
        <w:rPr>
          <w:i/>
          <w:iCs/>
          <w:u w:val="single"/>
        </w:rPr>
        <w:t>Supplementary Tables:</w:t>
      </w:r>
    </w:p>
    <w:p w14:paraId="2DA941B9" w14:textId="5EEFD102" w:rsidR="00B12FA1" w:rsidRDefault="0047040B" w:rsidP="0047040B">
      <w:pPr>
        <w:pStyle w:val="ListParagraph"/>
        <w:numPr>
          <w:ilvl w:val="0"/>
          <w:numId w:val="3"/>
        </w:numPr>
      </w:pPr>
      <w:r>
        <w:t xml:space="preserve">Table S1: Pairwise Wilcoxon comparisons for </w:t>
      </w:r>
      <w:r w:rsidR="00967FBC">
        <w:t xml:space="preserve">(Top) </w:t>
      </w:r>
      <w:proofErr w:type="spellStart"/>
      <w:r>
        <w:t>hsTropT</w:t>
      </w:r>
      <w:proofErr w:type="spellEnd"/>
      <w:r>
        <w:t xml:space="preserve"> and timepoints</w:t>
      </w:r>
      <w:r w:rsidR="00967FBC">
        <w:t xml:space="preserve"> and (Bottom) </w:t>
      </w:r>
      <w:proofErr w:type="spellStart"/>
      <w:r w:rsidR="00967FBC">
        <w:t>hsTropT</w:t>
      </w:r>
      <w:proofErr w:type="spellEnd"/>
      <w:r w:rsidR="00967FBC">
        <w:t xml:space="preserve"> and timepoints</w:t>
      </w:r>
      <w:r>
        <w:t>, with subgroups</w:t>
      </w:r>
      <w:r w:rsidR="005360D8">
        <w:t xml:space="preserve"> for CRS and baseline </w:t>
      </w:r>
      <w:r w:rsidR="00447D03">
        <w:t>lab values</w:t>
      </w:r>
    </w:p>
    <w:p w14:paraId="313210DF" w14:textId="77C35AD9" w:rsidR="006D1C57" w:rsidRDefault="006D1C57" w:rsidP="0047040B">
      <w:pPr>
        <w:pStyle w:val="ListParagraph"/>
        <w:numPr>
          <w:ilvl w:val="0"/>
          <w:numId w:val="3"/>
        </w:numPr>
      </w:pPr>
      <w:r>
        <w:t xml:space="preserve">Table S2: </w:t>
      </w:r>
      <w:r w:rsidR="00420099">
        <w:t xml:space="preserve">(Top) </w:t>
      </w:r>
      <w:proofErr w:type="spellStart"/>
      <w:r w:rsidR="00420099">
        <w:t>hsTropT</w:t>
      </w:r>
      <w:proofErr w:type="spellEnd"/>
      <w:r w:rsidR="00420099">
        <w:t xml:space="preserve"> levels and (Bottom) </w:t>
      </w:r>
      <w:proofErr w:type="spellStart"/>
      <w:r w:rsidR="00420099">
        <w:t>NTproBNP</w:t>
      </w:r>
      <w:proofErr w:type="spellEnd"/>
      <w:r w:rsidR="00420099">
        <w:t xml:space="preserve"> levels at each timepoint, with subgroups for presence of cardiac comorbidities</w:t>
      </w:r>
    </w:p>
    <w:p w14:paraId="67E402A6" w14:textId="729049C0" w:rsidR="00420099" w:rsidRDefault="00420099" w:rsidP="0047040B">
      <w:pPr>
        <w:pStyle w:val="ListParagraph"/>
        <w:numPr>
          <w:ilvl w:val="0"/>
          <w:numId w:val="3"/>
        </w:numPr>
      </w:pPr>
      <w:r>
        <w:t xml:space="preserve">Table S3: </w:t>
      </w:r>
      <w:r w:rsidR="00976449">
        <w:t xml:space="preserve">(Top) </w:t>
      </w:r>
      <w:proofErr w:type="spellStart"/>
      <w:r w:rsidR="00976449">
        <w:t>hsTropT</w:t>
      </w:r>
      <w:proofErr w:type="spellEnd"/>
      <w:r w:rsidR="00976449">
        <w:t xml:space="preserve"> levels and (Bottom) </w:t>
      </w:r>
      <w:proofErr w:type="spellStart"/>
      <w:r w:rsidR="00976449">
        <w:t>NTproBNP</w:t>
      </w:r>
      <w:proofErr w:type="spellEnd"/>
      <w:r w:rsidR="00976449">
        <w:t xml:space="preserve"> levels at each timepoint, with subgroups for presence of ICANS</w:t>
      </w:r>
    </w:p>
    <w:p w14:paraId="20E45429" w14:textId="77777777" w:rsidR="00287FB3" w:rsidRDefault="00287FB3" w:rsidP="00287FB3"/>
    <w:p w14:paraId="4B6E87F5" w14:textId="77777777" w:rsidR="00B12FA1" w:rsidRPr="00DB0636" w:rsidRDefault="00B12FA1">
      <w:pPr>
        <w:rPr>
          <w:i/>
          <w:iCs/>
          <w:u w:val="single"/>
        </w:rPr>
      </w:pPr>
      <w:r w:rsidRPr="00DB0636">
        <w:rPr>
          <w:i/>
          <w:iCs/>
          <w:u w:val="single"/>
        </w:rPr>
        <w:t>Supplementary Figures:</w:t>
      </w:r>
    </w:p>
    <w:p w14:paraId="77158280" w14:textId="5F3F22C6" w:rsidR="00FF5928" w:rsidRPr="00FF5928" w:rsidRDefault="006F01DE" w:rsidP="008B09A1">
      <w:pPr>
        <w:pStyle w:val="ListParagraph"/>
        <w:numPr>
          <w:ilvl w:val="0"/>
          <w:numId w:val="4"/>
        </w:numPr>
        <w:rPr>
          <w:b/>
          <w:bCs/>
        </w:rPr>
      </w:pPr>
      <w:r>
        <w:t>Figure S1: Correlation</w:t>
      </w:r>
      <w:r w:rsidR="00975B1A">
        <w:t xml:space="preserve"> between baseline serum </w:t>
      </w:r>
      <w:proofErr w:type="spellStart"/>
      <w:r w:rsidR="003334FE">
        <w:t>hsTropT</w:t>
      </w:r>
      <w:proofErr w:type="spellEnd"/>
      <w:r w:rsidR="00975B1A">
        <w:t xml:space="preserve"> and baseline serum creatinine</w:t>
      </w:r>
    </w:p>
    <w:p w14:paraId="57B56117" w14:textId="77777777" w:rsidR="00934B1B" w:rsidRPr="00934B1B" w:rsidRDefault="003334FE" w:rsidP="008B09A1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Figure S2: Dot plots for serum </w:t>
      </w:r>
      <w:proofErr w:type="spellStart"/>
      <w:r>
        <w:t>hsTropT</w:t>
      </w:r>
      <w:proofErr w:type="spellEnd"/>
      <w:r>
        <w:t xml:space="preserve"> and </w:t>
      </w:r>
      <w:proofErr w:type="spellStart"/>
      <w:r>
        <w:t>NTproBNP</w:t>
      </w:r>
      <w:proofErr w:type="spellEnd"/>
      <w:r>
        <w:t xml:space="preserve"> with respect to timepoint</w:t>
      </w:r>
      <w:r w:rsidR="007F58B9">
        <w:t xml:space="preserve">, with subgroups for CRS and baseline </w:t>
      </w:r>
      <w:proofErr w:type="spellStart"/>
      <w:r w:rsidR="007F58B9">
        <w:t>hsTropT</w:t>
      </w:r>
      <w:proofErr w:type="spellEnd"/>
    </w:p>
    <w:p w14:paraId="2FD471B1" w14:textId="48CCAE95" w:rsidR="00934B1B" w:rsidRPr="00AD3458" w:rsidRDefault="00934B1B" w:rsidP="008B09A1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Figure S3: Swimmer plots for serum </w:t>
      </w:r>
      <w:proofErr w:type="spellStart"/>
      <w:r>
        <w:t>hsTropT</w:t>
      </w:r>
      <w:proofErr w:type="spellEnd"/>
      <w:r>
        <w:t xml:space="preserve"> and </w:t>
      </w:r>
      <w:proofErr w:type="spellStart"/>
      <w:r>
        <w:t>NTproBNP</w:t>
      </w:r>
      <w:proofErr w:type="spellEnd"/>
      <w:r>
        <w:t xml:space="preserve"> with respect to timepoint, with subgroups for CRS and baseline </w:t>
      </w:r>
      <w:proofErr w:type="spellStart"/>
      <w:r>
        <w:t>hsTropT</w:t>
      </w:r>
      <w:proofErr w:type="spellEnd"/>
    </w:p>
    <w:p w14:paraId="6F5277BF" w14:textId="147BD7DF" w:rsidR="00AD3458" w:rsidRPr="00934B1B" w:rsidRDefault="00AD3458" w:rsidP="008B09A1">
      <w:pPr>
        <w:pStyle w:val="ListParagraph"/>
        <w:numPr>
          <w:ilvl w:val="0"/>
          <w:numId w:val="4"/>
        </w:numPr>
        <w:rPr>
          <w:b/>
          <w:bCs/>
        </w:rPr>
      </w:pPr>
      <w:r>
        <w:t>Figure S4:</w:t>
      </w:r>
      <w:r w:rsidRPr="00AD3458">
        <w:t xml:space="preserve"> </w:t>
      </w:r>
      <w:r>
        <w:t xml:space="preserve">Box plots for serum </w:t>
      </w:r>
      <w:proofErr w:type="spellStart"/>
      <w:r>
        <w:t>hsTropT</w:t>
      </w:r>
      <w:proofErr w:type="spellEnd"/>
      <w:r>
        <w:t xml:space="preserve"> and </w:t>
      </w:r>
      <w:proofErr w:type="spellStart"/>
      <w:r>
        <w:t>NTproBNP</w:t>
      </w:r>
      <w:proofErr w:type="spellEnd"/>
      <w:r>
        <w:t xml:space="preserve"> with respect to timepoint, with subgroups for cardiac comorbidities</w:t>
      </w:r>
    </w:p>
    <w:p w14:paraId="19972B0A" w14:textId="5ED6613D" w:rsidR="00FE4D79" w:rsidRPr="008B09A1" w:rsidRDefault="00934B1B" w:rsidP="008B09A1">
      <w:pPr>
        <w:pStyle w:val="ListParagraph"/>
        <w:numPr>
          <w:ilvl w:val="0"/>
          <w:numId w:val="4"/>
        </w:numPr>
        <w:rPr>
          <w:b/>
          <w:bCs/>
        </w:rPr>
      </w:pPr>
      <w:r>
        <w:t>Figure S</w:t>
      </w:r>
      <w:r w:rsidR="00AD3458">
        <w:t>5</w:t>
      </w:r>
      <w:r>
        <w:t xml:space="preserve">: Box plots for serum </w:t>
      </w:r>
      <w:proofErr w:type="spellStart"/>
      <w:r>
        <w:t>hsTropT</w:t>
      </w:r>
      <w:proofErr w:type="spellEnd"/>
      <w:r>
        <w:t xml:space="preserve"> and </w:t>
      </w:r>
      <w:proofErr w:type="spellStart"/>
      <w:r>
        <w:t>NTproBNP</w:t>
      </w:r>
      <w:proofErr w:type="spellEnd"/>
      <w:r>
        <w:t xml:space="preserve"> with respect to timepoint, with subgroups for ICANS </w:t>
      </w:r>
      <w:r w:rsidR="007F3F91">
        <w:br w:type="page"/>
      </w:r>
    </w:p>
    <w:p w14:paraId="4C08ECED" w14:textId="7EDA5C71" w:rsidR="00F5559F" w:rsidRDefault="00F5559F" w:rsidP="00F5559F">
      <w:r w:rsidRPr="00501B9E">
        <w:rPr>
          <w:b/>
          <w:bCs/>
        </w:rPr>
        <w:lastRenderedPageBreak/>
        <w:t>Table S</w:t>
      </w:r>
      <w:r>
        <w:rPr>
          <w:b/>
          <w:bCs/>
        </w:rPr>
        <w:t>1</w:t>
      </w:r>
      <w:r>
        <w:t xml:space="preserve">: </w:t>
      </w:r>
      <w:r w:rsidR="008115B0">
        <w:t>(</w:t>
      </w:r>
      <w:r w:rsidR="009503C1">
        <w:t>Top</w:t>
      </w:r>
      <w:r w:rsidR="008115B0">
        <w:t xml:space="preserve">) </w:t>
      </w:r>
      <w:r>
        <w:t xml:space="preserve">Pairwise Wilcoxon signed rank exact tests illustrating specific pairs of timepoints where levels </w:t>
      </w:r>
      <w:proofErr w:type="spellStart"/>
      <w:r>
        <w:t>hsTropT</w:t>
      </w:r>
      <w:proofErr w:type="spellEnd"/>
      <w:r>
        <w:t xml:space="preserve"> levels were significantly different</w:t>
      </w:r>
      <w:r w:rsidR="006F2B1D">
        <w:t xml:space="preserve">, for the full group, subgroups by cytokine release syndrome (CRS), and subgroups by abnormal baseline </w:t>
      </w:r>
      <w:proofErr w:type="spellStart"/>
      <w:r w:rsidR="006F2B1D">
        <w:t>hsTropT</w:t>
      </w:r>
      <w:proofErr w:type="spellEnd"/>
      <w:r>
        <w:t>.</w:t>
      </w:r>
      <w:r w:rsidR="00B62224">
        <w:t xml:space="preserve"> (</w:t>
      </w:r>
      <w:r w:rsidR="009503C1">
        <w:t>Bottom</w:t>
      </w:r>
      <w:r w:rsidR="00B62224">
        <w:t xml:space="preserve">) </w:t>
      </w:r>
      <w:r w:rsidR="00F312B7">
        <w:t xml:space="preserve">Pairwise Wilcoxon signed rank exact tests illustrating specific pairs of timepoints where levels </w:t>
      </w:r>
      <w:proofErr w:type="spellStart"/>
      <w:r w:rsidR="00F312B7">
        <w:t>NTproBNP</w:t>
      </w:r>
      <w:proofErr w:type="spellEnd"/>
      <w:r w:rsidR="00F312B7">
        <w:t xml:space="preserve"> levels were significantly different, for the full group, subgroups by cytokine release syndrome (CRS), and subgroups by abnormal baseline </w:t>
      </w:r>
      <w:proofErr w:type="spellStart"/>
      <w:r w:rsidR="00F312B7">
        <w:t>NTproBNP</w:t>
      </w:r>
      <w:proofErr w:type="spellEnd"/>
      <w:r w:rsidR="00F312B7">
        <w:t>.</w:t>
      </w:r>
      <w:r>
        <w:t xml:space="preserve"> Significant pairwise differences are denoted in bold.</w:t>
      </w:r>
    </w:p>
    <w:p w14:paraId="0D762242" w14:textId="77777777" w:rsidR="00F5559F" w:rsidRDefault="00F5559F" w:rsidP="00F555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31F9" w:rsidRPr="009C15B3" w14:paraId="18CC0047" w14:textId="77777777" w:rsidTr="00405383">
        <w:tc>
          <w:tcPr>
            <w:tcW w:w="9350" w:type="dxa"/>
            <w:gridSpan w:val="2"/>
            <w:shd w:val="clear" w:color="auto" w:fill="BFBFBF" w:themeFill="background1" w:themeFillShade="BF"/>
          </w:tcPr>
          <w:p w14:paraId="7D253E17" w14:textId="3B4FF271" w:rsidR="000A31F9" w:rsidRPr="00405383" w:rsidRDefault="000A31F9" w:rsidP="000A31F9">
            <w:pPr>
              <w:jc w:val="center"/>
              <w:rPr>
                <w:b/>
                <w:bCs/>
                <w:i/>
                <w:iCs/>
              </w:rPr>
            </w:pPr>
            <w:r w:rsidRPr="00405383">
              <w:rPr>
                <w:b/>
                <w:bCs/>
                <w:i/>
                <w:iCs/>
              </w:rPr>
              <w:t>Pai</w:t>
            </w:r>
            <w:r w:rsidR="00405383">
              <w:rPr>
                <w:b/>
                <w:bCs/>
                <w:i/>
                <w:iCs/>
              </w:rPr>
              <w:t>r</w:t>
            </w:r>
            <w:r w:rsidRPr="00405383">
              <w:rPr>
                <w:b/>
                <w:bCs/>
                <w:i/>
                <w:iCs/>
              </w:rPr>
              <w:t xml:space="preserve">wise Wilcoxon signed rank exact tests for </w:t>
            </w:r>
            <w:proofErr w:type="spellStart"/>
            <w:r w:rsidRPr="00405383">
              <w:rPr>
                <w:b/>
                <w:bCs/>
                <w:i/>
                <w:iCs/>
              </w:rPr>
              <w:t>hsTropT</w:t>
            </w:r>
            <w:proofErr w:type="spellEnd"/>
          </w:p>
        </w:tc>
      </w:tr>
      <w:tr w:rsidR="00F5559F" w:rsidRPr="009C15B3" w14:paraId="734D042C" w14:textId="77777777" w:rsidTr="00EE335D">
        <w:tc>
          <w:tcPr>
            <w:tcW w:w="9350" w:type="dxa"/>
            <w:gridSpan w:val="2"/>
          </w:tcPr>
          <w:p w14:paraId="080CEF82" w14:textId="77777777" w:rsidR="00F5559F" w:rsidRPr="009C15B3" w:rsidRDefault="00F5559F" w:rsidP="00EE335D">
            <w:r w:rsidRPr="009C15B3">
              <w:t>Full group</w:t>
            </w:r>
          </w:p>
        </w:tc>
      </w:tr>
      <w:tr w:rsidR="00F5559F" w:rsidRPr="00ED288A" w14:paraId="4C0012A7" w14:textId="77777777" w:rsidTr="00EE335D">
        <w:tc>
          <w:tcPr>
            <w:tcW w:w="9350" w:type="dxa"/>
            <w:gridSpan w:val="2"/>
          </w:tcPr>
          <w:p w14:paraId="3E2F6D34" w14:textId="603EEF05" w:rsidR="00E912E1" w:rsidRPr="00E912E1" w:rsidRDefault="00E912E1" w:rsidP="00E912E1">
            <w:pPr>
              <w:rPr>
                <w:rFonts w:ascii="Courier" w:hAnsi="Courier"/>
              </w:rPr>
            </w:pPr>
            <w:r w:rsidRPr="00E912E1">
              <w:rPr>
                <w:rFonts w:ascii="Courier" w:hAnsi="Courier"/>
              </w:rPr>
              <w:t xml:space="preserve">   </w:t>
            </w:r>
            <w:r w:rsidR="00076C1B">
              <w:rPr>
                <w:rFonts w:ascii="Courier" w:hAnsi="Courier"/>
              </w:rPr>
              <w:t>BL</w:t>
            </w:r>
            <w:r w:rsidRPr="00E912E1">
              <w:rPr>
                <w:rFonts w:ascii="Courier" w:hAnsi="Courier"/>
              </w:rPr>
              <w:t xml:space="preserve">   1   7  </w:t>
            </w:r>
          </w:p>
          <w:p w14:paraId="3C7D3291" w14:textId="77777777" w:rsidR="00E912E1" w:rsidRPr="00E912E1" w:rsidRDefault="00E912E1" w:rsidP="00E912E1">
            <w:pPr>
              <w:rPr>
                <w:rFonts w:ascii="Courier" w:hAnsi="Courier"/>
              </w:rPr>
            </w:pPr>
            <w:r w:rsidRPr="00E912E1">
              <w:rPr>
                <w:rFonts w:ascii="Courier" w:hAnsi="Courier"/>
              </w:rPr>
              <w:t xml:space="preserve">1  0.2 -   -  </w:t>
            </w:r>
          </w:p>
          <w:p w14:paraId="2A09B3E0" w14:textId="77777777" w:rsidR="00E912E1" w:rsidRPr="00E912E1" w:rsidRDefault="00E912E1" w:rsidP="00E912E1">
            <w:pPr>
              <w:rPr>
                <w:rFonts w:ascii="Courier" w:hAnsi="Courier"/>
              </w:rPr>
            </w:pPr>
            <w:r w:rsidRPr="00E912E1">
              <w:rPr>
                <w:rFonts w:ascii="Courier" w:hAnsi="Courier"/>
              </w:rPr>
              <w:t xml:space="preserve">7  0.9 0.6 -  </w:t>
            </w:r>
          </w:p>
          <w:p w14:paraId="77672B96" w14:textId="514671FD" w:rsidR="00F5559F" w:rsidRPr="00ED288A" w:rsidRDefault="00E912E1" w:rsidP="00E912E1">
            <w:pPr>
              <w:rPr>
                <w:rFonts w:ascii="Courier" w:hAnsi="Courier"/>
              </w:rPr>
            </w:pPr>
            <w:r w:rsidRPr="00E912E1">
              <w:rPr>
                <w:rFonts w:ascii="Courier" w:hAnsi="Courier"/>
              </w:rPr>
              <w:t>21 0.2 0.9 0.2</w:t>
            </w:r>
          </w:p>
        </w:tc>
      </w:tr>
      <w:tr w:rsidR="00F5559F" w:rsidRPr="009C15B3" w14:paraId="2437C2E9" w14:textId="77777777" w:rsidTr="00EE335D">
        <w:tc>
          <w:tcPr>
            <w:tcW w:w="4675" w:type="dxa"/>
          </w:tcPr>
          <w:p w14:paraId="39D85F91" w14:textId="77777777" w:rsidR="00F5559F" w:rsidRPr="009C15B3" w:rsidRDefault="00F5559F" w:rsidP="00EE335D">
            <w:r w:rsidRPr="009C15B3">
              <w:t>No grade 2 CRS group</w:t>
            </w:r>
          </w:p>
        </w:tc>
        <w:tc>
          <w:tcPr>
            <w:tcW w:w="4675" w:type="dxa"/>
          </w:tcPr>
          <w:p w14:paraId="3CD721C8" w14:textId="77777777" w:rsidR="00F5559F" w:rsidRPr="009C15B3" w:rsidRDefault="00F5559F" w:rsidP="00EE335D">
            <w:r w:rsidRPr="009C15B3">
              <w:t>Yes grade 2 CRS group</w:t>
            </w:r>
          </w:p>
        </w:tc>
      </w:tr>
      <w:tr w:rsidR="00F5559F" w:rsidRPr="00ED288A" w14:paraId="4FA9B530" w14:textId="77777777" w:rsidTr="00EE335D">
        <w:tc>
          <w:tcPr>
            <w:tcW w:w="4675" w:type="dxa"/>
          </w:tcPr>
          <w:p w14:paraId="1B06ACCD" w14:textId="0719DDC2" w:rsidR="00384948" w:rsidRPr="00384948" w:rsidRDefault="00384948" w:rsidP="00384948">
            <w:pPr>
              <w:rPr>
                <w:rFonts w:ascii="Courier" w:hAnsi="Courier"/>
              </w:rPr>
            </w:pPr>
            <w:r w:rsidRPr="00384948">
              <w:rPr>
                <w:rFonts w:ascii="Courier" w:hAnsi="Courier"/>
              </w:rPr>
              <w:t xml:space="preserve">   </w:t>
            </w:r>
            <w:r w:rsidR="00076C1B">
              <w:rPr>
                <w:rFonts w:ascii="Courier" w:hAnsi="Courier"/>
              </w:rPr>
              <w:t>BL</w:t>
            </w:r>
            <w:r w:rsidRPr="00384948">
              <w:rPr>
                <w:rFonts w:ascii="Courier" w:hAnsi="Courier"/>
              </w:rPr>
              <w:t xml:space="preserve">    1    7   </w:t>
            </w:r>
          </w:p>
          <w:p w14:paraId="6A1FEE64" w14:textId="77777777" w:rsidR="00384948" w:rsidRPr="00384948" w:rsidRDefault="00384948" w:rsidP="00384948">
            <w:pPr>
              <w:rPr>
                <w:rFonts w:ascii="Courier" w:hAnsi="Courier"/>
              </w:rPr>
            </w:pPr>
            <w:r w:rsidRPr="00384948">
              <w:rPr>
                <w:rFonts w:ascii="Courier" w:hAnsi="Courier"/>
              </w:rPr>
              <w:t xml:space="preserve">1  0.07 -    -   </w:t>
            </w:r>
          </w:p>
          <w:p w14:paraId="66095BD3" w14:textId="77777777" w:rsidR="00384948" w:rsidRPr="00384948" w:rsidRDefault="00384948" w:rsidP="00384948">
            <w:pPr>
              <w:rPr>
                <w:rFonts w:ascii="Courier" w:hAnsi="Courier"/>
              </w:rPr>
            </w:pPr>
            <w:r w:rsidRPr="00384948">
              <w:rPr>
                <w:rFonts w:ascii="Courier" w:hAnsi="Courier"/>
              </w:rPr>
              <w:t xml:space="preserve">7  0.77 0.77 -   </w:t>
            </w:r>
          </w:p>
          <w:p w14:paraId="64337863" w14:textId="1014A444" w:rsidR="00F5559F" w:rsidRPr="00ED288A" w:rsidRDefault="00384948" w:rsidP="00384948">
            <w:pPr>
              <w:rPr>
                <w:rFonts w:ascii="Courier" w:hAnsi="Courier"/>
              </w:rPr>
            </w:pPr>
            <w:r w:rsidRPr="00384948">
              <w:rPr>
                <w:rFonts w:ascii="Courier" w:hAnsi="Courier"/>
              </w:rPr>
              <w:t>21 0.70 0.96 0.33</w:t>
            </w:r>
          </w:p>
        </w:tc>
        <w:tc>
          <w:tcPr>
            <w:tcW w:w="4675" w:type="dxa"/>
          </w:tcPr>
          <w:p w14:paraId="66A7B0A0" w14:textId="66D16641" w:rsidR="00384948" w:rsidRPr="00384948" w:rsidRDefault="00384948" w:rsidP="00384948">
            <w:pPr>
              <w:rPr>
                <w:rFonts w:ascii="Courier" w:hAnsi="Courier"/>
              </w:rPr>
            </w:pPr>
            <w:r w:rsidRPr="00384948">
              <w:rPr>
                <w:rFonts w:ascii="Courier" w:hAnsi="Courier"/>
              </w:rPr>
              <w:t xml:space="preserve">   </w:t>
            </w:r>
            <w:r w:rsidR="00076C1B">
              <w:rPr>
                <w:rFonts w:ascii="Courier" w:hAnsi="Courier"/>
              </w:rPr>
              <w:t>BL</w:t>
            </w:r>
            <w:r w:rsidRPr="00384948">
              <w:rPr>
                <w:rFonts w:ascii="Courier" w:hAnsi="Courier"/>
              </w:rPr>
              <w:t xml:space="preserve">   1   7  </w:t>
            </w:r>
          </w:p>
          <w:p w14:paraId="4A2FE0F6" w14:textId="77777777" w:rsidR="00384948" w:rsidRPr="00384948" w:rsidRDefault="00384948" w:rsidP="00384948">
            <w:pPr>
              <w:rPr>
                <w:rFonts w:ascii="Courier" w:hAnsi="Courier"/>
              </w:rPr>
            </w:pPr>
            <w:r w:rsidRPr="00384948">
              <w:rPr>
                <w:rFonts w:ascii="Courier" w:hAnsi="Courier"/>
              </w:rPr>
              <w:t xml:space="preserve">1  0.7 -   -  </w:t>
            </w:r>
          </w:p>
          <w:p w14:paraId="29D61A5B" w14:textId="77777777" w:rsidR="00384948" w:rsidRPr="00384948" w:rsidRDefault="00384948" w:rsidP="00384948">
            <w:pPr>
              <w:rPr>
                <w:rFonts w:ascii="Courier" w:hAnsi="Courier"/>
              </w:rPr>
            </w:pPr>
            <w:r w:rsidRPr="00384948">
              <w:rPr>
                <w:rFonts w:ascii="Courier" w:hAnsi="Courier"/>
              </w:rPr>
              <w:t xml:space="preserve">7  0.7 0.7 -  </w:t>
            </w:r>
          </w:p>
          <w:p w14:paraId="56B3ED76" w14:textId="15BDD87F" w:rsidR="00F5559F" w:rsidRPr="00ED288A" w:rsidRDefault="00384948" w:rsidP="00384948">
            <w:pPr>
              <w:rPr>
                <w:rFonts w:ascii="Courier" w:hAnsi="Courier"/>
              </w:rPr>
            </w:pPr>
            <w:r w:rsidRPr="00384948">
              <w:rPr>
                <w:rFonts w:ascii="Courier" w:hAnsi="Courier"/>
              </w:rPr>
              <w:t>21 0.7 0.7 0.7</w:t>
            </w:r>
          </w:p>
        </w:tc>
      </w:tr>
      <w:tr w:rsidR="00F5559F" w:rsidRPr="009C15B3" w14:paraId="088340DC" w14:textId="77777777" w:rsidTr="00EE335D">
        <w:tc>
          <w:tcPr>
            <w:tcW w:w="4675" w:type="dxa"/>
          </w:tcPr>
          <w:p w14:paraId="3C98CCCD" w14:textId="3DFF93B0" w:rsidR="00F5559F" w:rsidRPr="009C15B3" w:rsidRDefault="00F5559F" w:rsidP="00EE335D">
            <w:r w:rsidRPr="009C15B3">
              <w:t xml:space="preserve">Normal baseline </w:t>
            </w:r>
            <w:proofErr w:type="spellStart"/>
            <w:r w:rsidR="00AE7EA5">
              <w:t>hsTropT</w:t>
            </w:r>
            <w:proofErr w:type="spellEnd"/>
            <w:r w:rsidRPr="009C15B3">
              <w:t xml:space="preserve"> group</w:t>
            </w:r>
          </w:p>
        </w:tc>
        <w:tc>
          <w:tcPr>
            <w:tcW w:w="4675" w:type="dxa"/>
          </w:tcPr>
          <w:p w14:paraId="4CF5B08F" w14:textId="6C3BD4D0" w:rsidR="00F5559F" w:rsidRPr="009C15B3" w:rsidRDefault="00F5559F" w:rsidP="00EE335D">
            <w:r w:rsidRPr="009C15B3">
              <w:t xml:space="preserve">Abnormal baseline </w:t>
            </w:r>
            <w:proofErr w:type="spellStart"/>
            <w:r w:rsidR="004E34E6">
              <w:t>hsTropT</w:t>
            </w:r>
            <w:proofErr w:type="spellEnd"/>
            <w:r w:rsidRPr="009C15B3">
              <w:t xml:space="preserve"> group</w:t>
            </w:r>
          </w:p>
        </w:tc>
      </w:tr>
      <w:tr w:rsidR="00F5559F" w:rsidRPr="00ED288A" w14:paraId="696227D5" w14:textId="77777777" w:rsidTr="00EE335D">
        <w:tc>
          <w:tcPr>
            <w:tcW w:w="4675" w:type="dxa"/>
          </w:tcPr>
          <w:p w14:paraId="430CF3DA" w14:textId="03AD44D7" w:rsidR="00F56D66" w:rsidRPr="00F56D66" w:rsidRDefault="00F56D66" w:rsidP="00F56D66">
            <w:pPr>
              <w:rPr>
                <w:rFonts w:ascii="Courier" w:hAnsi="Courier"/>
              </w:rPr>
            </w:pPr>
            <w:r w:rsidRPr="00F56D66">
              <w:rPr>
                <w:rFonts w:ascii="Courier" w:hAnsi="Courier"/>
              </w:rPr>
              <w:t xml:space="preserve">   </w:t>
            </w:r>
            <w:r w:rsidR="00076C1B">
              <w:rPr>
                <w:rFonts w:ascii="Courier" w:hAnsi="Courier"/>
              </w:rPr>
              <w:t>BL</w:t>
            </w:r>
            <w:r w:rsidRPr="00F56D66">
              <w:rPr>
                <w:rFonts w:ascii="Courier" w:hAnsi="Courier"/>
              </w:rPr>
              <w:t xml:space="preserve">    1    7   </w:t>
            </w:r>
          </w:p>
          <w:p w14:paraId="62F3B81A" w14:textId="77777777" w:rsidR="00F56D66" w:rsidRPr="00F56D66" w:rsidRDefault="00F56D66" w:rsidP="00F56D66">
            <w:pPr>
              <w:rPr>
                <w:rFonts w:ascii="Courier" w:hAnsi="Courier"/>
              </w:rPr>
            </w:pPr>
            <w:r w:rsidRPr="00F56D66">
              <w:rPr>
                <w:rFonts w:ascii="Courier" w:hAnsi="Courier"/>
              </w:rPr>
              <w:t xml:space="preserve">1  0.27 -    -   </w:t>
            </w:r>
          </w:p>
          <w:p w14:paraId="3AEAA958" w14:textId="77777777" w:rsidR="00F56D66" w:rsidRPr="00F56D66" w:rsidRDefault="00F56D66" w:rsidP="00F56D66">
            <w:pPr>
              <w:rPr>
                <w:rFonts w:ascii="Courier" w:hAnsi="Courier"/>
              </w:rPr>
            </w:pPr>
            <w:r w:rsidRPr="00F56D66">
              <w:rPr>
                <w:rFonts w:ascii="Courier" w:hAnsi="Courier"/>
              </w:rPr>
              <w:t xml:space="preserve">7  0.13 0.89 -   </w:t>
            </w:r>
          </w:p>
          <w:p w14:paraId="4F2CEC42" w14:textId="576F5E06" w:rsidR="00F5559F" w:rsidRPr="00ED288A" w:rsidRDefault="00F56D66" w:rsidP="00F56D66">
            <w:pPr>
              <w:rPr>
                <w:rFonts w:ascii="Courier" w:hAnsi="Courier"/>
              </w:rPr>
            </w:pPr>
            <w:r w:rsidRPr="00F56D66">
              <w:rPr>
                <w:rFonts w:ascii="Courier" w:hAnsi="Courier"/>
              </w:rPr>
              <w:t xml:space="preserve">21 </w:t>
            </w:r>
            <w:r w:rsidRPr="007A5CC4">
              <w:rPr>
                <w:rFonts w:ascii="Courier" w:hAnsi="Courier"/>
                <w:b/>
                <w:bCs/>
              </w:rPr>
              <w:t xml:space="preserve">0.01 </w:t>
            </w:r>
            <w:r w:rsidRPr="00F56D66">
              <w:rPr>
                <w:rFonts w:ascii="Courier" w:hAnsi="Courier"/>
              </w:rPr>
              <w:t>0.89 0.89</w:t>
            </w:r>
          </w:p>
        </w:tc>
        <w:tc>
          <w:tcPr>
            <w:tcW w:w="4675" w:type="dxa"/>
          </w:tcPr>
          <w:p w14:paraId="732BBD9E" w14:textId="1F6D0AE8" w:rsidR="00C23486" w:rsidRPr="00C23486" w:rsidRDefault="00C23486" w:rsidP="00C23486">
            <w:pPr>
              <w:rPr>
                <w:rFonts w:ascii="Courier" w:hAnsi="Courier"/>
              </w:rPr>
            </w:pPr>
            <w:r w:rsidRPr="00C23486">
              <w:rPr>
                <w:rFonts w:ascii="Courier" w:hAnsi="Courier"/>
              </w:rPr>
              <w:t xml:space="preserve">   </w:t>
            </w:r>
            <w:r w:rsidR="00076C1B">
              <w:rPr>
                <w:rFonts w:ascii="Courier" w:hAnsi="Courier"/>
              </w:rPr>
              <w:t>BL</w:t>
            </w:r>
            <w:r w:rsidRPr="00C23486">
              <w:rPr>
                <w:rFonts w:ascii="Courier" w:hAnsi="Courier"/>
              </w:rPr>
              <w:t xml:space="preserve">   1   7  </w:t>
            </w:r>
          </w:p>
          <w:p w14:paraId="70165074" w14:textId="77777777" w:rsidR="00C23486" w:rsidRPr="00C23486" w:rsidRDefault="00C23486" w:rsidP="00C23486">
            <w:pPr>
              <w:rPr>
                <w:rFonts w:ascii="Courier" w:hAnsi="Courier"/>
              </w:rPr>
            </w:pPr>
            <w:r w:rsidRPr="00C23486">
              <w:rPr>
                <w:rFonts w:ascii="Courier" w:hAnsi="Courier"/>
              </w:rPr>
              <w:t xml:space="preserve">1  0.7 -   -  </w:t>
            </w:r>
          </w:p>
          <w:p w14:paraId="23196E4D" w14:textId="77777777" w:rsidR="00C23486" w:rsidRPr="00C23486" w:rsidRDefault="00C23486" w:rsidP="00C23486">
            <w:pPr>
              <w:rPr>
                <w:rFonts w:ascii="Courier" w:hAnsi="Courier"/>
              </w:rPr>
            </w:pPr>
            <w:r w:rsidRPr="00C23486">
              <w:rPr>
                <w:rFonts w:ascii="Courier" w:hAnsi="Courier"/>
              </w:rPr>
              <w:t xml:space="preserve">7  0.6 0.6 -  </w:t>
            </w:r>
          </w:p>
          <w:p w14:paraId="5EC5E800" w14:textId="21A932B4" w:rsidR="00F5559F" w:rsidRPr="00ED288A" w:rsidRDefault="00C23486" w:rsidP="00C23486">
            <w:pPr>
              <w:rPr>
                <w:rFonts w:ascii="Courier" w:hAnsi="Courier"/>
              </w:rPr>
            </w:pPr>
            <w:r w:rsidRPr="00C23486">
              <w:rPr>
                <w:rFonts w:ascii="Courier" w:hAnsi="Courier"/>
              </w:rPr>
              <w:t>21 0.7 0.7 0.7</w:t>
            </w:r>
          </w:p>
        </w:tc>
      </w:tr>
      <w:tr w:rsidR="000A31F9" w:rsidRPr="009C15B3" w14:paraId="010868F8" w14:textId="77777777" w:rsidTr="00405383">
        <w:tc>
          <w:tcPr>
            <w:tcW w:w="9350" w:type="dxa"/>
            <w:gridSpan w:val="2"/>
            <w:shd w:val="clear" w:color="auto" w:fill="BFBFBF" w:themeFill="background1" w:themeFillShade="BF"/>
          </w:tcPr>
          <w:p w14:paraId="62DE30F1" w14:textId="6010E50C" w:rsidR="000A31F9" w:rsidRPr="00405383" w:rsidRDefault="009025BD" w:rsidP="009025BD">
            <w:pPr>
              <w:jc w:val="center"/>
              <w:rPr>
                <w:b/>
                <w:bCs/>
              </w:rPr>
            </w:pPr>
            <w:r w:rsidRPr="00405383">
              <w:rPr>
                <w:b/>
                <w:bCs/>
                <w:i/>
                <w:iCs/>
              </w:rPr>
              <w:t>Pa</w:t>
            </w:r>
            <w:r w:rsidR="00405383" w:rsidRPr="00405383">
              <w:rPr>
                <w:b/>
                <w:bCs/>
                <w:i/>
                <w:iCs/>
              </w:rPr>
              <w:t>ir</w:t>
            </w:r>
            <w:r w:rsidRPr="00405383">
              <w:rPr>
                <w:b/>
                <w:bCs/>
                <w:i/>
                <w:iCs/>
              </w:rPr>
              <w:t xml:space="preserve">wise Wilcoxon signed rank exact tests for </w:t>
            </w:r>
            <w:proofErr w:type="spellStart"/>
            <w:r w:rsidRPr="00405383">
              <w:rPr>
                <w:b/>
                <w:bCs/>
                <w:i/>
                <w:iCs/>
              </w:rPr>
              <w:t>NTproBNP</w:t>
            </w:r>
            <w:proofErr w:type="spellEnd"/>
          </w:p>
        </w:tc>
      </w:tr>
      <w:tr w:rsidR="00D41056" w:rsidRPr="009C15B3" w14:paraId="4DDEC8B8" w14:textId="77777777" w:rsidTr="00427832">
        <w:tc>
          <w:tcPr>
            <w:tcW w:w="9350" w:type="dxa"/>
            <w:gridSpan w:val="2"/>
          </w:tcPr>
          <w:p w14:paraId="7B92E818" w14:textId="5922473D" w:rsidR="00D41056" w:rsidRPr="009C15B3" w:rsidRDefault="00D41056" w:rsidP="009C15B3">
            <w:r w:rsidRPr="009C15B3">
              <w:t>Full group</w:t>
            </w:r>
          </w:p>
        </w:tc>
      </w:tr>
      <w:tr w:rsidR="00D41056" w:rsidRPr="00ED288A" w14:paraId="447ACEDE" w14:textId="77777777" w:rsidTr="00F30A19">
        <w:tc>
          <w:tcPr>
            <w:tcW w:w="9350" w:type="dxa"/>
            <w:gridSpan w:val="2"/>
          </w:tcPr>
          <w:p w14:paraId="05577432" w14:textId="43751406" w:rsidR="00D41056" w:rsidRPr="00ED288A" w:rsidRDefault="00D41056" w:rsidP="00E40F90">
            <w:pPr>
              <w:rPr>
                <w:rFonts w:ascii="Courier" w:hAnsi="Courier"/>
              </w:rPr>
            </w:pPr>
            <w:r w:rsidRPr="00ED288A">
              <w:rPr>
                <w:rFonts w:ascii="Courier" w:hAnsi="Courier"/>
              </w:rPr>
              <w:t xml:space="preserve">   </w:t>
            </w:r>
            <w:r w:rsidR="00076C1B">
              <w:rPr>
                <w:rFonts w:ascii="Courier" w:hAnsi="Courier"/>
              </w:rPr>
              <w:t>BL</w:t>
            </w:r>
            <w:r w:rsidRPr="00ED288A">
              <w:rPr>
                <w:rFonts w:ascii="Courier" w:hAnsi="Courier"/>
              </w:rPr>
              <w:t xml:space="preserve">     1     7    </w:t>
            </w:r>
          </w:p>
          <w:p w14:paraId="0711489B" w14:textId="77777777" w:rsidR="00D41056" w:rsidRPr="00ED288A" w:rsidRDefault="00D41056" w:rsidP="00E40F90">
            <w:pPr>
              <w:rPr>
                <w:rFonts w:ascii="Courier" w:hAnsi="Courier"/>
              </w:rPr>
            </w:pPr>
            <w:r w:rsidRPr="00ED288A">
              <w:rPr>
                <w:rFonts w:ascii="Courier" w:hAnsi="Courier"/>
              </w:rPr>
              <w:t xml:space="preserve">1  </w:t>
            </w:r>
            <w:r w:rsidRPr="00247D27">
              <w:rPr>
                <w:rFonts w:ascii="Courier" w:hAnsi="Courier"/>
                <w:b/>
                <w:bCs/>
              </w:rPr>
              <w:t xml:space="preserve">3e-05 </w:t>
            </w:r>
            <w:r w:rsidRPr="00ED288A">
              <w:rPr>
                <w:rFonts w:ascii="Courier" w:hAnsi="Courier"/>
              </w:rPr>
              <w:t xml:space="preserve">-     -    </w:t>
            </w:r>
          </w:p>
          <w:p w14:paraId="3D1B1CC1" w14:textId="77777777" w:rsidR="00D41056" w:rsidRPr="00ED288A" w:rsidRDefault="00D41056" w:rsidP="00E40F90">
            <w:pPr>
              <w:rPr>
                <w:rFonts w:ascii="Courier" w:hAnsi="Courier"/>
              </w:rPr>
            </w:pPr>
            <w:r w:rsidRPr="00ED288A">
              <w:rPr>
                <w:rFonts w:ascii="Courier" w:hAnsi="Courier"/>
              </w:rPr>
              <w:t xml:space="preserve">7  </w:t>
            </w:r>
            <w:r w:rsidRPr="00247D27">
              <w:rPr>
                <w:rFonts w:ascii="Courier" w:hAnsi="Courier"/>
                <w:b/>
                <w:bCs/>
              </w:rPr>
              <w:t>3e-05</w:t>
            </w:r>
            <w:r w:rsidRPr="00ED288A">
              <w:rPr>
                <w:rFonts w:ascii="Courier" w:hAnsi="Courier"/>
              </w:rPr>
              <w:t xml:space="preserve"> 0.09  -    </w:t>
            </w:r>
          </w:p>
          <w:p w14:paraId="4F1DC77C" w14:textId="542AE5AA" w:rsidR="00D41056" w:rsidRPr="00ED288A" w:rsidRDefault="00D41056">
            <w:pPr>
              <w:rPr>
                <w:rFonts w:ascii="Courier" w:hAnsi="Courier"/>
              </w:rPr>
            </w:pPr>
            <w:r w:rsidRPr="00ED288A">
              <w:rPr>
                <w:rFonts w:ascii="Courier" w:hAnsi="Courier"/>
              </w:rPr>
              <w:t xml:space="preserve">21 0.50  </w:t>
            </w:r>
            <w:r w:rsidRPr="00247D27">
              <w:rPr>
                <w:rFonts w:ascii="Courier" w:hAnsi="Courier"/>
                <w:b/>
                <w:bCs/>
              </w:rPr>
              <w:t>1e-05</w:t>
            </w:r>
            <w:r w:rsidRPr="00ED288A">
              <w:rPr>
                <w:rFonts w:ascii="Courier" w:hAnsi="Courier"/>
              </w:rPr>
              <w:t xml:space="preserve"> </w:t>
            </w:r>
            <w:r w:rsidRPr="00247D27">
              <w:rPr>
                <w:rFonts w:ascii="Courier" w:hAnsi="Courier"/>
                <w:b/>
                <w:bCs/>
              </w:rPr>
              <w:t>5e-07</w:t>
            </w:r>
          </w:p>
        </w:tc>
      </w:tr>
      <w:tr w:rsidR="000F7A6F" w:rsidRPr="009C15B3" w14:paraId="035CEDD0" w14:textId="77777777" w:rsidTr="000F7A6F">
        <w:tc>
          <w:tcPr>
            <w:tcW w:w="4675" w:type="dxa"/>
          </w:tcPr>
          <w:p w14:paraId="365EE6ED" w14:textId="54DB2113" w:rsidR="000F7A6F" w:rsidRPr="009C15B3" w:rsidRDefault="00E40F90" w:rsidP="009C15B3">
            <w:r w:rsidRPr="009C15B3">
              <w:t>No grade 2 CRS group</w:t>
            </w:r>
          </w:p>
        </w:tc>
        <w:tc>
          <w:tcPr>
            <w:tcW w:w="4675" w:type="dxa"/>
          </w:tcPr>
          <w:p w14:paraId="71CDE87D" w14:textId="0B996A96" w:rsidR="000F7A6F" w:rsidRPr="009C15B3" w:rsidRDefault="00E40F90" w:rsidP="009C15B3">
            <w:r w:rsidRPr="009C15B3">
              <w:t>Yes grade 2 CRS group</w:t>
            </w:r>
          </w:p>
        </w:tc>
      </w:tr>
      <w:tr w:rsidR="000F7A6F" w:rsidRPr="00ED288A" w14:paraId="2878CAAA" w14:textId="77777777" w:rsidTr="000F7A6F">
        <w:tc>
          <w:tcPr>
            <w:tcW w:w="4675" w:type="dxa"/>
          </w:tcPr>
          <w:p w14:paraId="46A4C040" w14:textId="6258A399" w:rsidR="00E40F90" w:rsidRPr="00E40F90" w:rsidRDefault="00E40F90" w:rsidP="00E40F90">
            <w:pPr>
              <w:rPr>
                <w:rFonts w:ascii="Courier" w:hAnsi="Courier"/>
              </w:rPr>
            </w:pPr>
            <w:r w:rsidRPr="00E40F90">
              <w:rPr>
                <w:rFonts w:ascii="Courier" w:hAnsi="Courier"/>
              </w:rPr>
              <w:t xml:space="preserve">   </w:t>
            </w:r>
            <w:r w:rsidR="00076C1B">
              <w:rPr>
                <w:rFonts w:ascii="Courier" w:hAnsi="Courier"/>
              </w:rPr>
              <w:t>BL</w:t>
            </w:r>
            <w:r w:rsidRPr="00E40F90">
              <w:rPr>
                <w:rFonts w:ascii="Courier" w:hAnsi="Courier"/>
              </w:rPr>
              <w:t xml:space="preserve">     1     7    </w:t>
            </w:r>
          </w:p>
          <w:p w14:paraId="39702D7E" w14:textId="77777777" w:rsidR="00E40F90" w:rsidRPr="00E40F90" w:rsidRDefault="00E40F90" w:rsidP="00E40F90">
            <w:pPr>
              <w:rPr>
                <w:rFonts w:ascii="Courier" w:hAnsi="Courier"/>
              </w:rPr>
            </w:pPr>
            <w:r w:rsidRPr="00E40F90">
              <w:rPr>
                <w:rFonts w:ascii="Courier" w:hAnsi="Courier"/>
              </w:rPr>
              <w:t xml:space="preserve">1  </w:t>
            </w:r>
            <w:r w:rsidRPr="00361AEF">
              <w:rPr>
                <w:rFonts w:ascii="Courier" w:hAnsi="Courier"/>
                <w:b/>
                <w:bCs/>
              </w:rPr>
              <w:t>0.003</w:t>
            </w:r>
            <w:r w:rsidRPr="00E40F90">
              <w:rPr>
                <w:rFonts w:ascii="Courier" w:hAnsi="Courier"/>
              </w:rPr>
              <w:t xml:space="preserve"> -     -    </w:t>
            </w:r>
          </w:p>
          <w:p w14:paraId="1F8E173D" w14:textId="77777777" w:rsidR="00E40F90" w:rsidRPr="00E40F90" w:rsidRDefault="00E40F90" w:rsidP="00E40F90">
            <w:pPr>
              <w:rPr>
                <w:rFonts w:ascii="Courier" w:hAnsi="Courier"/>
              </w:rPr>
            </w:pPr>
            <w:r w:rsidRPr="00E40F90">
              <w:rPr>
                <w:rFonts w:ascii="Courier" w:hAnsi="Courier"/>
              </w:rPr>
              <w:t xml:space="preserve">7  0.029 0.759 -    </w:t>
            </w:r>
          </w:p>
          <w:p w14:paraId="1F1BF558" w14:textId="291E382F" w:rsidR="000F7A6F" w:rsidRPr="00ED288A" w:rsidRDefault="00E40F90" w:rsidP="00E40F90">
            <w:pPr>
              <w:rPr>
                <w:rFonts w:ascii="Courier" w:hAnsi="Courier"/>
              </w:rPr>
            </w:pPr>
            <w:r w:rsidRPr="00E40F90">
              <w:rPr>
                <w:rFonts w:ascii="Courier" w:hAnsi="Courier"/>
              </w:rPr>
              <w:t xml:space="preserve">21 0.352 </w:t>
            </w:r>
            <w:r w:rsidRPr="00361AEF">
              <w:rPr>
                <w:rFonts w:ascii="Courier" w:hAnsi="Courier"/>
                <w:b/>
                <w:bCs/>
              </w:rPr>
              <w:t>6e-04</w:t>
            </w:r>
            <w:r w:rsidRPr="00E40F90">
              <w:rPr>
                <w:rFonts w:ascii="Courier" w:hAnsi="Courier"/>
              </w:rPr>
              <w:t xml:space="preserve"> </w:t>
            </w:r>
            <w:r w:rsidRPr="00361AEF">
              <w:rPr>
                <w:rFonts w:ascii="Courier" w:hAnsi="Courier"/>
                <w:b/>
                <w:bCs/>
              </w:rPr>
              <w:t>0.003</w:t>
            </w:r>
          </w:p>
        </w:tc>
        <w:tc>
          <w:tcPr>
            <w:tcW w:w="4675" w:type="dxa"/>
          </w:tcPr>
          <w:p w14:paraId="12D1E081" w14:textId="09CCF338" w:rsidR="00E40F90" w:rsidRPr="00E40F90" w:rsidRDefault="00E40F90" w:rsidP="00E40F90">
            <w:pPr>
              <w:rPr>
                <w:rFonts w:ascii="Courier" w:hAnsi="Courier"/>
              </w:rPr>
            </w:pPr>
            <w:r w:rsidRPr="00E40F90">
              <w:rPr>
                <w:rFonts w:ascii="Courier" w:hAnsi="Courier"/>
              </w:rPr>
              <w:t xml:space="preserve">   </w:t>
            </w:r>
            <w:r w:rsidR="00076C1B">
              <w:rPr>
                <w:rFonts w:ascii="Courier" w:hAnsi="Courier"/>
              </w:rPr>
              <w:t>BL</w:t>
            </w:r>
            <w:r w:rsidRPr="00E40F90">
              <w:rPr>
                <w:rFonts w:ascii="Courier" w:hAnsi="Courier"/>
              </w:rPr>
              <w:t xml:space="preserve">     1    7    </w:t>
            </w:r>
          </w:p>
          <w:p w14:paraId="189E826B" w14:textId="77777777" w:rsidR="00E40F90" w:rsidRPr="00E40F90" w:rsidRDefault="00E40F90" w:rsidP="00E40F90">
            <w:pPr>
              <w:rPr>
                <w:rFonts w:ascii="Courier" w:hAnsi="Courier"/>
              </w:rPr>
            </w:pPr>
            <w:r w:rsidRPr="00E40F90">
              <w:rPr>
                <w:rFonts w:ascii="Courier" w:hAnsi="Courier"/>
              </w:rPr>
              <w:t xml:space="preserve">1  </w:t>
            </w:r>
            <w:r w:rsidRPr="00361AEF">
              <w:rPr>
                <w:rFonts w:ascii="Courier" w:hAnsi="Courier"/>
                <w:b/>
                <w:bCs/>
              </w:rPr>
              <w:t>0.01</w:t>
            </w:r>
            <w:r w:rsidRPr="00E40F90">
              <w:rPr>
                <w:rFonts w:ascii="Courier" w:hAnsi="Courier"/>
              </w:rPr>
              <w:t xml:space="preserve">  -    -    </w:t>
            </w:r>
          </w:p>
          <w:p w14:paraId="13FDF646" w14:textId="77777777" w:rsidR="00E40F90" w:rsidRPr="00E40F90" w:rsidRDefault="00E40F90" w:rsidP="00E40F90">
            <w:pPr>
              <w:rPr>
                <w:rFonts w:ascii="Courier" w:hAnsi="Courier"/>
              </w:rPr>
            </w:pPr>
            <w:r w:rsidRPr="00E40F90">
              <w:rPr>
                <w:rFonts w:ascii="Courier" w:hAnsi="Courier"/>
              </w:rPr>
              <w:t xml:space="preserve">7  </w:t>
            </w:r>
            <w:r w:rsidRPr="00361AEF">
              <w:rPr>
                <w:rFonts w:ascii="Courier" w:hAnsi="Courier"/>
                <w:b/>
                <w:bCs/>
              </w:rPr>
              <w:t>9e-04</w:t>
            </w:r>
            <w:r w:rsidRPr="00E40F90">
              <w:rPr>
                <w:rFonts w:ascii="Courier" w:hAnsi="Courier"/>
              </w:rPr>
              <w:t xml:space="preserve"> 0.06 -    </w:t>
            </w:r>
          </w:p>
          <w:p w14:paraId="0E9FEDF7" w14:textId="10DDA623" w:rsidR="000F7A6F" w:rsidRPr="00ED288A" w:rsidRDefault="00E40F90" w:rsidP="00E40F90">
            <w:pPr>
              <w:rPr>
                <w:rFonts w:ascii="Courier" w:hAnsi="Courier"/>
              </w:rPr>
            </w:pPr>
            <w:r w:rsidRPr="00E40F90">
              <w:rPr>
                <w:rFonts w:ascii="Courier" w:hAnsi="Courier"/>
              </w:rPr>
              <w:t xml:space="preserve">21 0.85  </w:t>
            </w:r>
            <w:r w:rsidRPr="00361AEF">
              <w:rPr>
                <w:rFonts w:ascii="Courier" w:hAnsi="Courier"/>
                <w:b/>
                <w:bCs/>
              </w:rPr>
              <w:t>0.01</w:t>
            </w:r>
            <w:r w:rsidRPr="00E40F90">
              <w:rPr>
                <w:rFonts w:ascii="Courier" w:hAnsi="Courier"/>
              </w:rPr>
              <w:t xml:space="preserve"> </w:t>
            </w:r>
            <w:r w:rsidRPr="00361AEF">
              <w:rPr>
                <w:rFonts w:ascii="Courier" w:hAnsi="Courier"/>
                <w:b/>
                <w:bCs/>
              </w:rPr>
              <w:t>2e-04</w:t>
            </w:r>
          </w:p>
        </w:tc>
      </w:tr>
      <w:tr w:rsidR="000F7A6F" w:rsidRPr="009C15B3" w14:paraId="26D285A2" w14:textId="77777777" w:rsidTr="000F7A6F">
        <w:tc>
          <w:tcPr>
            <w:tcW w:w="4675" w:type="dxa"/>
          </w:tcPr>
          <w:p w14:paraId="3D039C7F" w14:textId="5B7C8A6C" w:rsidR="000F7A6F" w:rsidRPr="009C15B3" w:rsidRDefault="00F44FB4" w:rsidP="009C15B3">
            <w:r w:rsidRPr="009C15B3">
              <w:t xml:space="preserve">Normal baseline </w:t>
            </w:r>
            <w:proofErr w:type="spellStart"/>
            <w:r w:rsidR="00B522E3" w:rsidRPr="009C15B3">
              <w:t>NTpro</w:t>
            </w:r>
            <w:r w:rsidRPr="009C15B3">
              <w:t>BNP</w:t>
            </w:r>
            <w:proofErr w:type="spellEnd"/>
            <w:r w:rsidRPr="009C15B3">
              <w:t xml:space="preserve"> group</w:t>
            </w:r>
          </w:p>
        </w:tc>
        <w:tc>
          <w:tcPr>
            <w:tcW w:w="4675" w:type="dxa"/>
          </w:tcPr>
          <w:p w14:paraId="4E978B94" w14:textId="61266EC9" w:rsidR="000F7A6F" w:rsidRPr="009C15B3" w:rsidRDefault="00F44FB4" w:rsidP="009C15B3">
            <w:r w:rsidRPr="009C15B3">
              <w:t xml:space="preserve">Abnormal baseline </w:t>
            </w:r>
            <w:proofErr w:type="spellStart"/>
            <w:r w:rsidR="00B522E3" w:rsidRPr="009C15B3">
              <w:t>NTpro</w:t>
            </w:r>
            <w:r w:rsidRPr="009C15B3">
              <w:t>BNP</w:t>
            </w:r>
            <w:proofErr w:type="spellEnd"/>
            <w:r w:rsidRPr="009C15B3">
              <w:t xml:space="preserve"> group</w:t>
            </w:r>
          </w:p>
        </w:tc>
      </w:tr>
      <w:tr w:rsidR="000F7A6F" w:rsidRPr="00ED288A" w14:paraId="1C53E1FE" w14:textId="77777777" w:rsidTr="000F7A6F">
        <w:tc>
          <w:tcPr>
            <w:tcW w:w="4675" w:type="dxa"/>
          </w:tcPr>
          <w:p w14:paraId="4D03EC2C" w14:textId="7FA7D5DA" w:rsidR="00F44FB4" w:rsidRPr="00F44FB4" w:rsidRDefault="00F44FB4" w:rsidP="00F44FB4">
            <w:pPr>
              <w:rPr>
                <w:rFonts w:ascii="Courier" w:hAnsi="Courier"/>
              </w:rPr>
            </w:pPr>
            <w:r w:rsidRPr="00F44FB4">
              <w:rPr>
                <w:rFonts w:ascii="Courier" w:hAnsi="Courier"/>
              </w:rPr>
              <w:t xml:space="preserve">   </w:t>
            </w:r>
            <w:r w:rsidR="00076C1B">
              <w:rPr>
                <w:rFonts w:ascii="Courier" w:hAnsi="Courier"/>
              </w:rPr>
              <w:t>BL</w:t>
            </w:r>
            <w:r w:rsidRPr="00F44FB4">
              <w:rPr>
                <w:rFonts w:ascii="Courier" w:hAnsi="Courier"/>
              </w:rPr>
              <w:t xml:space="preserve">   1   7  </w:t>
            </w:r>
          </w:p>
          <w:p w14:paraId="2A8828BB" w14:textId="77777777" w:rsidR="00F44FB4" w:rsidRPr="00F44FB4" w:rsidRDefault="00F44FB4" w:rsidP="00F44FB4">
            <w:pPr>
              <w:rPr>
                <w:rFonts w:ascii="Courier" w:hAnsi="Courier"/>
              </w:rPr>
            </w:pPr>
            <w:r w:rsidRPr="00F44FB4">
              <w:rPr>
                <w:rFonts w:ascii="Courier" w:hAnsi="Courier"/>
              </w:rPr>
              <w:t xml:space="preserve">1  0.9 -   -  </w:t>
            </w:r>
          </w:p>
          <w:p w14:paraId="448F521E" w14:textId="77777777" w:rsidR="00F44FB4" w:rsidRPr="00F44FB4" w:rsidRDefault="00F44FB4" w:rsidP="00F44FB4">
            <w:pPr>
              <w:rPr>
                <w:rFonts w:ascii="Courier" w:hAnsi="Courier"/>
              </w:rPr>
            </w:pPr>
            <w:r w:rsidRPr="00F44FB4">
              <w:rPr>
                <w:rFonts w:ascii="Courier" w:hAnsi="Courier"/>
              </w:rPr>
              <w:t xml:space="preserve">7  0.4 0.4 -  </w:t>
            </w:r>
          </w:p>
          <w:p w14:paraId="755D5BA9" w14:textId="494E2DFA" w:rsidR="000F7A6F" w:rsidRPr="00ED288A" w:rsidRDefault="00F44FB4" w:rsidP="00F44FB4">
            <w:pPr>
              <w:rPr>
                <w:rFonts w:ascii="Courier" w:hAnsi="Courier"/>
              </w:rPr>
            </w:pPr>
            <w:r w:rsidRPr="00F44FB4">
              <w:rPr>
                <w:rFonts w:ascii="Courier" w:hAnsi="Courier"/>
              </w:rPr>
              <w:t>21 0.9 0.9 0.4</w:t>
            </w:r>
          </w:p>
        </w:tc>
        <w:tc>
          <w:tcPr>
            <w:tcW w:w="4675" w:type="dxa"/>
          </w:tcPr>
          <w:p w14:paraId="26EEFD66" w14:textId="101EC9CD" w:rsidR="00F44FB4" w:rsidRPr="00F44FB4" w:rsidRDefault="00F44FB4" w:rsidP="00F44FB4">
            <w:pPr>
              <w:rPr>
                <w:rFonts w:ascii="Courier" w:hAnsi="Courier"/>
              </w:rPr>
            </w:pPr>
            <w:r w:rsidRPr="00F44FB4">
              <w:rPr>
                <w:rFonts w:ascii="Courier" w:hAnsi="Courier"/>
              </w:rPr>
              <w:t xml:space="preserve">   </w:t>
            </w:r>
            <w:r w:rsidR="00076C1B">
              <w:rPr>
                <w:rFonts w:ascii="Courier" w:hAnsi="Courier"/>
              </w:rPr>
              <w:t>BL</w:t>
            </w:r>
            <w:r w:rsidRPr="00F44FB4">
              <w:rPr>
                <w:rFonts w:ascii="Courier" w:hAnsi="Courier"/>
              </w:rPr>
              <w:t xml:space="preserve">     1     7    </w:t>
            </w:r>
          </w:p>
          <w:p w14:paraId="397C0573" w14:textId="77777777" w:rsidR="00F44FB4" w:rsidRPr="00F44FB4" w:rsidRDefault="00F44FB4" w:rsidP="00F44FB4">
            <w:pPr>
              <w:rPr>
                <w:rFonts w:ascii="Courier" w:hAnsi="Courier"/>
              </w:rPr>
            </w:pPr>
            <w:r w:rsidRPr="00F44FB4">
              <w:rPr>
                <w:rFonts w:ascii="Courier" w:hAnsi="Courier"/>
              </w:rPr>
              <w:t xml:space="preserve">1  </w:t>
            </w:r>
            <w:r w:rsidRPr="00B34DC1">
              <w:rPr>
                <w:rFonts w:ascii="Courier" w:hAnsi="Courier"/>
                <w:b/>
                <w:bCs/>
              </w:rPr>
              <w:t>0.014</w:t>
            </w:r>
            <w:r w:rsidRPr="00F44FB4">
              <w:rPr>
                <w:rFonts w:ascii="Courier" w:hAnsi="Courier"/>
              </w:rPr>
              <w:t xml:space="preserve"> -     -    </w:t>
            </w:r>
          </w:p>
          <w:p w14:paraId="65E9ECFC" w14:textId="77777777" w:rsidR="00F44FB4" w:rsidRPr="00F44FB4" w:rsidRDefault="00F44FB4" w:rsidP="00F44FB4">
            <w:pPr>
              <w:rPr>
                <w:rFonts w:ascii="Courier" w:hAnsi="Courier"/>
              </w:rPr>
            </w:pPr>
            <w:r w:rsidRPr="00F44FB4">
              <w:rPr>
                <w:rFonts w:ascii="Courier" w:hAnsi="Courier"/>
              </w:rPr>
              <w:t xml:space="preserve">7  </w:t>
            </w:r>
            <w:r w:rsidRPr="00BA4CEB">
              <w:rPr>
                <w:rFonts w:ascii="Courier" w:hAnsi="Courier"/>
                <w:b/>
                <w:bCs/>
              </w:rPr>
              <w:t>0.005</w:t>
            </w:r>
            <w:r w:rsidRPr="00F44FB4">
              <w:rPr>
                <w:rFonts w:ascii="Courier" w:hAnsi="Courier"/>
              </w:rPr>
              <w:t xml:space="preserve"> 0.396 -    </w:t>
            </w:r>
          </w:p>
          <w:p w14:paraId="19924AFF" w14:textId="5A356214" w:rsidR="000F7A6F" w:rsidRPr="00ED288A" w:rsidRDefault="00F44FB4" w:rsidP="00F44FB4">
            <w:pPr>
              <w:rPr>
                <w:rFonts w:ascii="Courier" w:hAnsi="Courier"/>
              </w:rPr>
            </w:pPr>
            <w:r w:rsidRPr="00F44FB4">
              <w:rPr>
                <w:rFonts w:ascii="Courier" w:hAnsi="Courier"/>
              </w:rPr>
              <w:t xml:space="preserve">21 0.644 </w:t>
            </w:r>
            <w:r w:rsidRPr="00BA4CEB">
              <w:rPr>
                <w:rFonts w:ascii="Courier" w:hAnsi="Courier"/>
                <w:b/>
                <w:bCs/>
              </w:rPr>
              <w:t>0.005</w:t>
            </w:r>
            <w:r w:rsidRPr="00F44FB4">
              <w:rPr>
                <w:rFonts w:ascii="Courier" w:hAnsi="Courier"/>
              </w:rPr>
              <w:t xml:space="preserve"> </w:t>
            </w:r>
            <w:r w:rsidRPr="00BA4CEB">
              <w:rPr>
                <w:rFonts w:ascii="Courier" w:hAnsi="Courier"/>
                <w:b/>
                <w:bCs/>
              </w:rPr>
              <w:t>0.002</w:t>
            </w:r>
          </w:p>
        </w:tc>
      </w:tr>
    </w:tbl>
    <w:p w14:paraId="454F4B5F" w14:textId="2087E278" w:rsidR="007B62E6" w:rsidRDefault="007B62E6"/>
    <w:p w14:paraId="1807E372" w14:textId="77777777" w:rsidR="007B62E6" w:rsidRDefault="007B62E6">
      <w:r>
        <w:br w:type="page"/>
      </w:r>
    </w:p>
    <w:p w14:paraId="578ECDAD" w14:textId="77777777" w:rsidR="009D0996" w:rsidRDefault="002D58FD">
      <w:r w:rsidRPr="00670DA6">
        <w:rPr>
          <w:b/>
          <w:bCs/>
        </w:rPr>
        <w:lastRenderedPageBreak/>
        <w:t>Table S2</w:t>
      </w:r>
      <w:r>
        <w:t>:</w:t>
      </w:r>
      <w:r w:rsidR="001C4CEA">
        <w:t xml:space="preserve"> (Top) </w:t>
      </w:r>
      <w:proofErr w:type="spellStart"/>
      <w:r w:rsidR="001C4CEA">
        <w:t>hsTropT</w:t>
      </w:r>
      <w:proofErr w:type="spellEnd"/>
      <w:r w:rsidR="001C4CEA">
        <w:t xml:space="preserve"> levels and (Bottom) </w:t>
      </w:r>
      <w:proofErr w:type="spellStart"/>
      <w:r w:rsidR="001C4CEA">
        <w:t>NTproBNP</w:t>
      </w:r>
      <w:proofErr w:type="spellEnd"/>
      <w:r w:rsidR="001C4CEA">
        <w:t xml:space="preserve"> levels at baseline, day 1, day 7, and day 21 grouped </w:t>
      </w:r>
      <w:proofErr w:type="spellStart"/>
      <w:r w:rsidR="001C4CEA">
        <w:t>subgrouped</w:t>
      </w:r>
      <w:proofErr w:type="spellEnd"/>
      <w:r w:rsidR="001C4CEA">
        <w:t xml:space="preserve"> by presence of </w:t>
      </w:r>
      <w:r w:rsidR="00DE5351">
        <w:t>baseline cardiac comorbidities.</w:t>
      </w:r>
      <w:r w:rsidR="001C4CEA">
        <w:t xml:space="preserve"> </w:t>
      </w:r>
      <w:r w:rsidR="001C4CEA" w:rsidRPr="00210D11">
        <w:rPr>
          <w:vertAlign w:val="subscript"/>
        </w:rPr>
        <w:t>a</w:t>
      </w:r>
      <w:r w:rsidR="001C4CEA" w:rsidRPr="000B0A87">
        <w:t xml:space="preserve"> b </w:t>
      </w:r>
      <w:r w:rsidR="001C4CEA" w:rsidRPr="00210D11">
        <w:rPr>
          <w:vertAlign w:val="subscript"/>
        </w:rPr>
        <w:t>c</w:t>
      </w:r>
      <w:r w:rsidR="001C4CEA" w:rsidRPr="000B0A87">
        <w:t xml:space="preserve"> represent the lower quartile a, the median b, and the upper quartile c</w:t>
      </w:r>
      <w:r w:rsidR="001C4CEA">
        <w:t>.</w:t>
      </w:r>
    </w:p>
    <w:p w14:paraId="2F296D88" w14:textId="456C978D" w:rsidR="009D0996" w:rsidRDefault="009D099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06"/>
        <w:gridCol w:w="9"/>
        <w:gridCol w:w="3420"/>
        <w:gridCol w:w="22"/>
        <w:gridCol w:w="3488"/>
        <w:gridCol w:w="11"/>
        <w:gridCol w:w="1969"/>
      </w:tblGrid>
      <w:tr w:rsidR="00AE7B0F" w:rsidRPr="009D0996" w14:paraId="4BFB4566" w14:textId="77777777" w:rsidTr="00A052D6">
        <w:tc>
          <w:tcPr>
            <w:tcW w:w="9625" w:type="dxa"/>
            <w:gridSpan w:val="7"/>
            <w:shd w:val="clear" w:color="auto" w:fill="BFBFBF" w:themeFill="background1" w:themeFillShade="BF"/>
          </w:tcPr>
          <w:p w14:paraId="0E6ECEAC" w14:textId="4814CC55" w:rsidR="00AE7B0F" w:rsidRPr="009D0996" w:rsidRDefault="00AE7B0F" w:rsidP="00AE7B0F">
            <w:pPr>
              <w:jc w:val="center"/>
            </w:pPr>
            <w:proofErr w:type="spellStart"/>
            <w:r w:rsidRPr="00405383">
              <w:rPr>
                <w:b/>
                <w:bCs/>
                <w:i/>
                <w:iCs/>
              </w:rPr>
              <w:t>hsTropT</w:t>
            </w:r>
            <w:proofErr w:type="spellEnd"/>
            <w:r>
              <w:rPr>
                <w:b/>
                <w:bCs/>
                <w:i/>
                <w:iCs/>
              </w:rPr>
              <w:t xml:space="preserve"> (ng/L)</w:t>
            </w:r>
          </w:p>
        </w:tc>
      </w:tr>
      <w:tr w:rsidR="00670DA6" w:rsidRPr="009D0996" w14:paraId="58538A3C" w14:textId="77777777" w:rsidTr="00C75E6F">
        <w:tc>
          <w:tcPr>
            <w:tcW w:w="706" w:type="dxa"/>
          </w:tcPr>
          <w:p w14:paraId="191C45F0" w14:textId="42B2504A" w:rsidR="007D099E" w:rsidRPr="009D0996" w:rsidRDefault="007D099E" w:rsidP="007D099E">
            <w:r w:rsidRPr="00980895">
              <w:t>Day</w:t>
            </w:r>
          </w:p>
        </w:tc>
        <w:tc>
          <w:tcPr>
            <w:tcW w:w="3451" w:type="dxa"/>
            <w:gridSpan w:val="3"/>
          </w:tcPr>
          <w:p w14:paraId="6CB3CEFE" w14:textId="3253ED7C" w:rsidR="007D099E" w:rsidRPr="009D0996" w:rsidRDefault="007D099E" w:rsidP="007D099E">
            <w:r>
              <w:t>No cardiac comorbidities (n</w:t>
            </w:r>
            <w:r w:rsidR="003D0979">
              <w:t>=17)</w:t>
            </w:r>
          </w:p>
        </w:tc>
        <w:tc>
          <w:tcPr>
            <w:tcW w:w="3499" w:type="dxa"/>
            <w:gridSpan w:val="2"/>
          </w:tcPr>
          <w:p w14:paraId="4918D910" w14:textId="66BAEC9A" w:rsidR="007D099E" w:rsidRPr="009D0996" w:rsidRDefault="007D099E" w:rsidP="007D099E">
            <w:r w:rsidRPr="00980895">
              <w:t xml:space="preserve">Yes </w:t>
            </w:r>
            <w:r w:rsidR="003D0979">
              <w:t>cardiac comorbidities (n=23)</w:t>
            </w:r>
          </w:p>
        </w:tc>
        <w:tc>
          <w:tcPr>
            <w:tcW w:w="0" w:type="auto"/>
          </w:tcPr>
          <w:p w14:paraId="594C1F24" w14:textId="0CE53FE0" w:rsidR="007D099E" w:rsidRPr="009D0996" w:rsidRDefault="007D099E" w:rsidP="007D099E">
            <w:r w:rsidRPr="00104040">
              <w:t>Combined</w:t>
            </w:r>
            <w:r w:rsidRPr="00980895">
              <w:t xml:space="preserve"> (n</w:t>
            </w:r>
            <w:r w:rsidRPr="00104040">
              <w:t>=40</w:t>
            </w:r>
            <w:r w:rsidRPr="00980895">
              <w:t>)</w:t>
            </w:r>
          </w:p>
        </w:tc>
      </w:tr>
      <w:tr w:rsidR="00670DA6" w:rsidRPr="009D0996" w14:paraId="53528FA2" w14:textId="77777777" w:rsidTr="00C75E6F">
        <w:tc>
          <w:tcPr>
            <w:tcW w:w="706" w:type="dxa"/>
          </w:tcPr>
          <w:p w14:paraId="16ED6EAC" w14:textId="6EE479DA" w:rsidR="007D099E" w:rsidRPr="009D0996" w:rsidRDefault="00076C1B" w:rsidP="007D099E">
            <w:r>
              <w:t>BL</w:t>
            </w:r>
          </w:p>
        </w:tc>
        <w:tc>
          <w:tcPr>
            <w:tcW w:w="3451" w:type="dxa"/>
            <w:gridSpan w:val="3"/>
            <w:hideMark/>
          </w:tcPr>
          <w:p w14:paraId="09A38EFA" w14:textId="34FC6D1A" w:rsidR="007D099E" w:rsidRPr="009D0996" w:rsidRDefault="007D099E" w:rsidP="007D099E">
            <w:r w:rsidRPr="00DC7F4A">
              <w:rPr>
                <w:vertAlign w:val="subscript"/>
              </w:rPr>
              <w:t>9.</w:t>
            </w:r>
            <w:r w:rsidR="00DC7F4A">
              <w:rPr>
                <w:vertAlign w:val="subscript"/>
              </w:rPr>
              <w:t>9</w:t>
            </w:r>
            <w:r w:rsidRPr="009D0996">
              <w:t xml:space="preserve"> 13.7 </w:t>
            </w:r>
            <w:r w:rsidRPr="0083792E">
              <w:rPr>
                <w:vertAlign w:val="subscript"/>
              </w:rPr>
              <w:t>21.0</w:t>
            </w:r>
          </w:p>
        </w:tc>
        <w:tc>
          <w:tcPr>
            <w:tcW w:w="3499" w:type="dxa"/>
            <w:gridSpan w:val="2"/>
            <w:hideMark/>
          </w:tcPr>
          <w:p w14:paraId="62B0B5F4" w14:textId="62A1DF91" w:rsidR="007D099E" w:rsidRPr="009D0996" w:rsidRDefault="007D099E" w:rsidP="007D099E">
            <w:r w:rsidRPr="0082557C">
              <w:rPr>
                <w:vertAlign w:val="subscript"/>
              </w:rPr>
              <w:t xml:space="preserve">9.2 </w:t>
            </w:r>
            <w:r w:rsidRPr="009D0996">
              <w:t xml:space="preserve">10.2 </w:t>
            </w:r>
            <w:r w:rsidRPr="00BE686A">
              <w:rPr>
                <w:vertAlign w:val="subscript"/>
              </w:rPr>
              <w:t>18.7</w:t>
            </w:r>
          </w:p>
        </w:tc>
        <w:tc>
          <w:tcPr>
            <w:tcW w:w="0" w:type="auto"/>
            <w:hideMark/>
          </w:tcPr>
          <w:p w14:paraId="30414721" w14:textId="7CB402CF" w:rsidR="007D099E" w:rsidRPr="009D0996" w:rsidRDefault="007D099E" w:rsidP="007D099E">
            <w:r w:rsidRPr="007333C0">
              <w:rPr>
                <w:vertAlign w:val="subscript"/>
              </w:rPr>
              <w:t>9.2</w:t>
            </w:r>
            <w:r w:rsidRPr="009D0996">
              <w:t xml:space="preserve"> 12.1 </w:t>
            </w:r>
            <w:r w:rsidRPr="007333C0">
              <w:rPr>
                <w:vertAlign w:val="subscript"/>
              </w:rPr>
              <w:t>20.</w:t>
            </w:r>
            <w:r w:rsidR="00E80AEA" w:rsidRPr="007333C0">
              <w:rPr>
                <w:vertAlign w:val="subscript"/>
              </w:rPr>
              <w:t>1</w:t>
            </w:r>
          </w:p>
        </w:tc>
      </w:tr>
      <w:tr w:rsidR="00670DA6" w:rsidRPr="009D0996" w14:paraId="0DCBFFA0" w14:textId="77777777" w:rsidTr="00C75E6F">
        <w:tc>
          <w:tcPr>
            <w:tcW w:w="706" w:type="dxa"/>
          </w:tcPr>
          <w:p w14:paraId="215D211B" w14:textId="143BAA87" w:rsidR="007D099E" w:rsidRPr="009D0996" w:rsidRDefault="00335E57" w:rsidP="007D099E">
            <w:r>
              <w:t>1</w:t>
            </w:r>
          </w:p>
        </w:tc>
        <w:tc>
          <w:tcPr>
            <w:tcW w:w="3451" w:type="dxa"/>
            <w:gridSpan w:val="3"/>
            <w:hideMark/>
          </w:tcPr>
          <w:p w14:paraId="00BDBA48" w14:textId="63D9460C" w:rsidR="007D099E" w:rsidRPr="009D0996" w:rsidRDefault="007D099E" w:rsidP="007D099E">
            <w:r w:rsidRPr="0083792E">
              <w:rPr>
                <w:vertAlign w:val="subscript"/>
              </w:rPr>
              <w:t>8.</w:t>
            </w:r>
            <w:r w:rsidR="008E69A9" w:rsidRPr="0083792E">
              <w:rPr>
                <w:vertAlign w:val="subscript"/>
              </w:rPr>
              <w:t>2</w:t>
            </w:r>
            <w:r w:rsidRPr="009D0996">
              <w:t xml:space="preserve"> 10.</w:t>
            </w:r>
            <w:r w:rsidR="008E69A9">
              <w:t>4</w:t>
            </w:r>
            <w:r w:rsidRPr="009D0996">
              <w:t xml:space="preserve"> </w:t>
            </w:r>
            <w:r w:rsidRPr="0083792E">
              <w:rPr>
                <w:vertAlign w:val="subscript"/>
              </w:rPr>
              <w:t>22.8</w:t>
            </w:r>
          </w:p>
        </w:tc>
        <w:tc>
          <w:tcPr>
            <w:tcW w:w="3499" w:type="dxa"/>
            <w:gridSpan w:val="2"/>
            <w:hideMark/>
          </w:tcPr>
          <w:p w14:paraId="099FFA5B" w14:textId="69119584" w:rsidR="007D099E" w:rsidRPr="009D0996" w:rsidRDefault="007D099E" w:rsidP="007D099E">
            <w:r w:rsidRPr="0082557C">
              <w:rPr>
                <w:vertAlign w:val="subscript"/>
              </w:rPr>
              <w:t>10.</w:t>
            </w:r>
            <w:r w:rsidR="00C9701E" w:rsidRPr="0082557C">
              <w:rPr>
                <w:vertAlign w:val="subscript"/>
              </w:rPr>
              <w:t>5</w:t>
            </w:r>
            <w:r w:rsidRPr="009D0996">
              <w:t xml:space="preserve"> 13.7 </w:t>
            </w:r>
            <w:r w:rsidRPr="0082557C">
              <w:rPr>
                <w:vertAlign w:val="subscript"/>
              </w:rPr>
              <w:t>25.</w:t>
            </w:r>
            <w:r w:rsidR="00C9701E" w:rsidRPr="0082557C">
              <w:rPr>
                <w:vertAlign w:val="subscript"/>
              </w:rPr>
              <w:t>8</w:t>
            </w:r>
          </w:p>
        </w:tc>
        <w:tc>
          <w:tcPr>
            <w:tcW w:w="0" w:type="auto"/>
            <w:hideMark/>
          </w:tcPr>
          <w:p w14:paraId="59543040" w14:textId="20DCCA32" w:rsidR="007D099E" w:rsidRPr="009D0996" w:rsidRDefault="007D099E" w:rsidP="007D099E">
            <w:r w:rsidRPr="007333C0">
              <w:rPr>
                <w:vertAlign w:val="subscript"/>
              </w:rPr>
              <w:t>9.6</w:t>
            </w:r>
            <w:r w:rsidRPr="009D0996">
              <w:t xml:space="preserve"> 13.1 </w:t>
            </w:r>
            <w:r w:rsidRPr="007333C0">
              <w:rPr>
                <w:vertAlign w:val="subscript"/>
              </w:rPr>
              <w:t>24.2</w:t>
            </w:r>
          </w:p>
        </w:tc>
      </w:tr>
      <w:tr w:rsidR="00670DA6" w:rsidRPr="009D0996" w14:paraId="004CB3E4" w14:textId="77777777" w:rsidTr="00C75E6F">
        <w:tc>
          <w:tcPr>
            <w:tcW w:w="706" w:type="dxa"/>
          </w:tcPr>
          <w:p w14:paraId="661A5C5D" w14:textId="5009BE28" w:rsidR="007D099E" w:rsidRPr="009D0996" w:rsidRDefault="00335E57" w:rsidP="007D099E">
            <w:r>
              <w:t>7</w:t>
            </w:r>
          </w:p>
        </w:tc>
        <w:tc>
          <w:tcPr>
            <w:tcW w:w="3451" w:type="dxa"/>
            <w:gridSpan w:val="3"/>
            <w:hideMark/>
          </w:tcPr>
          <w:p w14:paraId="341478A0" w14:textId="17C4FDD1" w:rsidR="007D099E" w:rsidRPr="009D0996" w:rsidRDefault="007D099E" w:rsidP="007D099E">
            <w:r w:rsidRPr="0083792E">
              <w:rPr>
                <w:vertAlign w:val="subscript"/>
              </w:rPr>
              <w:t>8.</w:t>
            </w:r>
            <w:r w:rsidR="008E69A9" w:rsidRPr="0083792E">
              <w:rPr>
                <w:vertAlign w:val="subscript"/>
              </w:rPr>
              <w:t>8</w:t>
            </w:r>
            <w:r w:rsidRPr="0083792E">
              <w:rPr>
                <w:vertAlign w:val="subscript"/>
              </w:rPr>
              <w:t xml:space="preserve"> </w:t>
            </w:r>
            <w:r w:rsidRPr="009D0996">
              <w:t xml:space="preserve">11.6 </w:t>
            </w:r>
            <w:r w:rsidRPr="0083792E">
              <w:rPr>
                <w:vertAlign w:val="subscript"/>
              </w:rPr>
              <w:t>18.7</w:t>
            </w:r>
          </w:p>
        </w:tc>
        <w:tc>
          <w:tcPr>
            <w:tcW w:w="3499" w:type="dxa"/>
            <w:gridSpan w:val="2"/>
            <w:hideMark/>
          </w:tcPr>
          <w:p w14:paraId="10644E72" w14:textId="02CBFD75" w:rsidR="007D099E" w:rsidRPr="009D0996" w:rsidRDefault="007D099E" w:rsidP="007D099E">
            <w:r w:rsidRPr="0082557C">
              <w:rPr>
                <w:vertAlign w:val="subscript"/>
              </w:rPr>
              <w:t>10.4</w:t>
            </w:r>
            <w:r w:rsidRPr="009D0996">
              <w:t xml:space="preserve"> 13.8 </w:t>
            </w:r>
            <w:r w:rsidRPr="0082557C">
              <w:rPr>
                <w:vertAlign w:val="subscript"/>
              </w:rPr>
              <w:t>17.</w:t>
            </w:r>
            <w:r w:rsidR="00C9701E" w:rsidRPr="0082557C">
              <w:rPr>
                <w:vertAlign w:val="subscript"/>
              </w:rPr>
              <w:t>2</w:t>
            </w:r>
          </w:p>
        </w:tc>
        <w:tc>
          <w:tcPr>
            <w:tcW w:w="0" w:type="auto"/>
            <w:hideMark/>
          </w:tcPr>
          <w:p w14:paraId="7322275B" w14:textId="5145918B" w:rsidR="007D099E" w:rsidRPr="009D0996" w:rsidRDefault="007D099E" w:rsidP="007D099E">
            <w:r w:rsidRPr="007333C0">
              <w:rPr>
                <w:vertAlign w:val="subscript"/>
              </w:rPr>
              <w:t>9.6</w:t>
            </w:r>
            <w:r w:rsidRPr="009D0996">
              <w:t xml:space="preserve"> 11.9 </w:t>
            </w:r>
            <w:r w:rsidRPr="007333C0">
              <w:rPr>
                <w:vertAlign w:val="subscript"/>
              </w:rPr>
              <w:t>18.0</w:t>
            </w:r>
          </w:p>
        </w:tc>
      </w:tr>
      <w:tr w:rsidR="00670DA6" w:rsidRPr="009D0996" w14:paraId="279156AE" w14:textId="77777777" w:rsidTr="00C75E6F">
        <w:tc>
          <w:tcPr>
            <w:tcW w:w="706" w:type="dxa"/>
          </w:tcPr>
          <w:p w14:paraId="199DDF9D" w14:textId="070C9E67" w:rsidR="007D099E" w:rsidRPr="009D0996" w:rsidRDefault="00335E57" w:rsidP="007D099E">
            <w:r>
              <w:t>21</w:t>
            </w:r>
          </w:p>
        </w:tc>
        <w:tc>
          <w:tcPr>
            <w:tcW w:w="3451" w:type="dxa"/>
            <w:gridSpan w:val="3"/>
            <w:hideMark/>
          </w:tcPr>
          <w:p w14:paraId="6362CBCB" w14:textId="045DA6CB" w:rsidR="007D099E" w:rsidRPr="009D0996" w:rsidRDefault="007D099E" w:rsidP="007D099E">
            <w:r w:rsidRPr="0083792E">
              <w:rPr>
                <w:vertAlign w:val="subscript"/>
              </w:rPr>
              <w:t>11.7</w:t>
            </w:r>
            <w:r w:rsidRPr="009D0996">
              <w:t xml:space="preserve"> 15.5 </w:t>
            </w:r>
            <w:r w:rsidRPr="0083792E">
              <w:rPr>
                <w:vertAlign w:val="subscript"/>
              </w:rPr>
              <w:t>19.</w:t>
            </w:r>
            <w:r w:rsidR="008E69A9" w:rsidRPr="0083792E">
              <w:rPr>
                <w:vertAlign w:val="subscript"/>
              </w:rPr>
              <w:t>5</w:t>
            </w:r>
          </w:p>
        </w:tc>
        <w:tc>
          <w:tcPr>
            <w:tcW w:w="3499" w:type="dxa"/>
            <w:gridSpan w:val="2"/>
            <w:hideMark/>
          </w:tcPr>
          <w:p w14:paraId="603105EF" w14:textId="418F3E92" w:rsidR="007D099E" w:rsidRPr="009D0996" w:rsidRDefault="007D099E" w:rsidP="007D099E">
            <w:r w:rsidRPr="0082557C">
              <w:rPr>
                <w:vertAlign w:val="subscript"/>
              </w:rPr>
              <w:t>10.8</w:t>
            </w:r>
            <w:r w:rsidRPr="009D0996">
              <w:t xml:space="preserve"> 14.8 </w:t>
            </w:r>
            <w:r w:rsidRPr="0082557C">
              <w:rPr>
                <w:vertAlign w:val="subscript"/>
              </w:rPr>
              <w:t>20.2</w:t>
            </w:r>
          </w:p>
        </w:tc>
        <w:tc>
          <w:tcPr>
            <w:tcW w:w="0" w:type="auto"/>
            <w:hideMark/>
          </w:tcPr>
          <w:p w14:paraId="53BD7DD6" w14:textId="74ED4FDE" w:rsidR="007D099E" w:rsidRPr="009D0996" w:rsidRDefault="007D099E" w:rsidP="007D099E">
            <w:r w:rsidRPr="007333C0">
              <w:rPr>
                <w:vertAlign w:val="subscript"/>
              </w:rPr>
              <w:t>10.8</w:t>
            </w:r>
            <w:r w:rsidRPr="009D0996">
              <w:t xml:space="preserve"> 15.</w:t>
            </w:r>
            <w:r w:rsidR="00E80AEA">
              <w:t>3</w:t>
            </w:r>
            <w:r w:rsidRPr="009D0996">
              <w:t xml:space="preserve"> </w:t>
            </w:r>
            <w:r w:rsidRPr="007333C0">
              <w:rPr>
                <w:vertAlign w:val="subscript"/>
              </w:rPr>
              <w:t>20.2</w:t>
            </w:r>
          </w:p>
        </w:tc>
      </w:tr>
      <w:tr w:rsidR="00E2637E" w:rsidRPr="009D0996" w14:paraId="30C4BD0E" w14:textId="77777777" w:rsidTr="00A052D6">
        <w:tc>
          <w:tcPr>
            <w:tcW w:w="9625" w:type="dxa"/>
            <w:gridSpan w:val="7"/>
            <w:shd w:val="clear" w:color="auto" w:fill="BFBFBF" w:themeFill="background1" w:themeFillShade="BF"/>
          </w:tcPr>
          <w:p w14:paraId="175847BC" w14:textId="1D5DB2F2" w:rsidR="00E2637E" w:rsidRPr="009D0996" w:rsidRDefault="00E2637E" w:rsidP="006B120C">
            <w:pPr>
              <w:jc w:val="center"/>
            </w:pPr>
            <w:proofErr w:type="spellStart"/>
            <w:r>
              <w:rPr>
                <w:b/>
                <w:bCs/>
                <w:i/>
                <w:iCs/>
              </w:rPr>
              <w:t>NTproBNP</w:t>
            </w:r>
            <w:proofErr w:type="spellEnd"/>
            <w:r>
              <w:rPr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</w:rPr>
              <w:t>pg</w:t>
            </w:r>
            <w:proofErr w:type="spellEnd"/>
            <w:r>
              <w:rPr>
                <w:b/>
                <w:bCs/>
                <w:i/>
                <w:iCs/>
              </w:rPr>
              <w:t>/mL)</w:t>
            </w:r>
          </w:p>
        </w:tc>
      </w:tr>
      <w:tr w:rsidR="00E2637E" w:rsidRPr="009D0996" w14:paraId="5CEB71CB" w14:textId="77777777" w:rsidTr="00C75E6F">
        <w:tc>
          <w:tcPr>
            <w:tcW w:w="706" w:type="dxa"/>
          </w:tcPr>
          <w:p w14:paraId="57E81D8B" w14:textId="77777777" w:rsidR="00E2637E" w:rsidRPr="009D0996" w:rsidRDefault="00E2637E" w:rsidP="006B120C">
            <w:r w:rsidRPr="00980895">
              <w:t>Day</w:t>
            </w:r>
          </w:p>
        </w:tc>
        <w:tc>
          <w:tcPr>
            <w:tcW w:w="3451" w:type="dxa"/>
            <w:gridSpan w:val="3"/>
          </w:tcPr>
          <w:p w14:paraId="7EC25574" w14:textId="77777777" w:rsidR="00E2637E" w:rsidRPr="009D0996" w:rsidRDefault="00E2637E" w:rsidP="006B120C">
            <w:r>
              <w:t>No cardiac comorbidities (n=17)</w:t>
            </w:r>
          </w:p>
        </w:tc>
        <w:tc>
          <w:tcPr>
            <w:tcW w:w="3499" w:type="dxa"/>
            <w:gridSpan w:val="2"/>
          </w:tcPr>
          <w:p w14:paraId="00553BEE" w14:textId="77777777" w:rsidR="00E2637E" w:rsidRPr="009D0996" w:rsidRDefault="00E2637E" w:rsidP="006B120C">
            <w:r w:rsidRPr="00980895">
              <w:t xml:space="preserve">Yes </w:t>
            </w:r>
            <w:r>
              <w:t>cardiac comorbidities (n=23)</w:t>
            </w:r>
          </w:p>
        </w:tc>
        <w:tc>
          <w:tcPr>
            <w:tcW w:w="0" w:type="auto"/>
          </w:tcPr>
          <w:p w14:paraId="60E8C571" w14:textId="77777777" w:rsidR="00E2637E" w:rsidRPr="009D0996" w:rsidRDefault="00E2637E" w:rsidP="006B120C">
            <w:r w:rsidRPr="00104040">
              <w:t>Combined</w:t>
            </w:r>
            <w:r w:rsidRPr="00980895">
              <w:t xml:space="preserve"> (n</w:t>
            </w:r>
            <w:r w:rsidRPr="00104040">
              <w:t>=40</w:t>
            </w:r>
            <w:r w:rsidRPr="00980895">
              <w:t>)</w:t>
            </w:r>
          </w:p>
        </w:tc>
      </w:tr>
      <w:tr w:rsidR="00A052D6" w:rsidRPr="009D0996" w14:paraId="5F318B15" w14:textId="77777777" w:rsidTr="00C75E6F">
        <w:tc>
          <w:tcPr>
            <w:tcW w:w="715" w:type="dxa"/>
            <w:gridSpan w:val="2"/>
            <w:hideMark/>
          </w:tcPr>
          <w:p w14:paraId="2CFA18BF" w14:textId="55443439" w:rsidR="00A052D6" w:rsidRPr="009D0996" w:rsidRDefault="00076C1B" w:rsidP="00A052D6">
            <w:r>
              <w:t>BL</w:t>
            </w:r>
          </w:p>
        </w:tc>
        <w:tc>
          <w:tcPr>
            <w:tcW w:w="3420" w:type="dxa"/>
            <w:hideMark/>
          </w:tcPr>
          <w:p w14:paraId="78AAE3DB" w14:textId="262375A6" w:rsidR="00A052D6" w:rsidRPr="009D0996" w:rsidRDefault="00A052D6" w:rsidP="00A052D6">
            <w:r w:rsidRPr="002C2F67">
              <w:rPr>
                <w:vertAlign w:val="subscript"/>
              </w:rPr>
              <w:t>85.6</w:t>
            </w:r>
            <w:r w:rsidRPr="009D0996">
              <w:t xml:space="preserve"> 166.9 </w:t>
            </w:r>
            <w:r w:rsidRPr="002C2F67">
              <w:rPr>
                <w:vertAlign w:val="subscript"/>
              </w:rPr>
              <w:t>437.9</w:t>
            </w:r>
          </w:p>
        </w:tc>
        <w:tc>
          <w:tcPr>
            <w:tcW w:w="3510" w:type="dxa"/>
            <w:gridSpan w:val="2"/>
            <w:hideMark/>
          </w:tcPr>
          <w:p w14:paraId="4EF4537A" w14:textId="1037D278" w:rsidR="00A052D6" w:rsidRPr="009D0996" w:rsidRDefault="00A052D6" w:rsidP="00A052D6">
            <w:r w:rsidRPr="000A1A88">
              <w:rPr>
                <w:vertAlign w:val="subscript"/>
              </w:rPr>
              <w:t>137.5</w:t>
            </w:r>
            <w:r w:rsidRPr="009D0996">
              <w:t xml:space="preserve"> 185.1 </w:t>
            </w:r>
            <w:r w:rsidRPr="000A1A88">
              <w:rPr>
                <w:vertAlign w:val="subscript"/>
              </w:rPr>
              <w:t>299.7</w:t>
            </w:r>
          </w:p>
        </w:tc>
        <w:tc>
          <w:tcPr>
            <w:tcW w:w="1980" w:type="dxa"/>
            <w:gridSpan w:val="2"/>
            <w:hideMark/>
          </w:tcPr>
          <w:p w14:paraId="0E33402C" w14:textId="3033ABFE" w:rsidR="00A052D6" w:rsidRPr="009D0996" w:rsidRDefault="00A052D6" w:rsidP="00A052D6">
            <w:r w:rsidRPr="00104040">
              <w:rPr>
                <w:vertAlign w:val="subscript"/>
              </w:rPr>
              <w:t>116.0</w:t>
            </w:r>
            <w:r w:rsidRPr="00104040">
              <w:t xml:space="preserve"> 179.1 </w:t>
            </w:r>
            <w:r w:rsidRPr="00104040">
              <w:rPr>
                <w:vertAlign w:val="subscript"/>
              </w:rPr>
              <w:t>324.8</w:t>
            </w:r>
          </w:p>
        </w:tc>
      </w:tr>
      <w:tr w:rsidR="00A052D6" w:rsidRPr="009D0996" w14:paraId="4DDFC5FF" w14:textId="77777777" w:rsidTr="00C75E6F">
        <w:tc>
          <w:tcPr>
            <w:tcW w:w="715" w:type="dxa"/>
            <w:gridSpan w:val="2"/>
            <w:hideMark/>
          </w:tcPr>
          <w:p w14:paraId="0AB1A030" w14:textId="03871E21" w:rsidR="00A052D6" w:rsidRPr="009D0996" w:rsidRDefault="00A052D6" w:rsidP="00A052D6">
            <w:r>
              <w:t>1</w:t>
            </w:r>
          </w:p>
        </w:tc>
        <w:tc>
          <w:tcPr>
            <w:tcW w:w="3420" w:type="dxa"/>
            <w:hideMark/>
          </w:tcPr>
          <w:p w14:paraId="50DD93E4" w14:textId="786D50B6" w:rsidR="00A052D6" w:rsidRPr="009D0996" w:rsidRDefault="00A052D6" w:rsidP="00A052D6">
            <w:r w:rsidRPr="002C2F67">
              <w:rPr>
                <w:vertAlign w:val="subscript"/>
              </w:rPr>
              <w:t>58.4</w:t>
            </w:r>
            <w:r w:rsidRPr="009D0996">
              <w:t xml:space="preserve"> 287.4 </w:t>
            </w:r>
            <w:r w:rsidRPr="002C2F67">
              <w:rPr>
                <w:vertAlign w:val="subscript"/>
              </w:rPr>
              <w:t>783.6</w:t>
            </w:r>
          </w:p>
        </w:tc>
        <w:tc>
          <w:tcPr>
            <w:tcW w:w="3510" w:type="dxa"/>
            <w:gridSpan w:val="2"/>
            <w:hideMark/>
          </w:tcPr>
          <w:p w14:paraId="5F7F6F30" w14:textId="617EA217" w:rsidR="00A052D6" w:rsidRPr="009D0996" w:rsidRDefault="00A052D6" w:rsidP="00A052D6">
            <w:r w:rsidRPr="000A1A88">
              <w:rPr>
                <w:vertAlign w:val="subscript"/>
              </w:rPr>
              <w:t>190.1</w:t>
            </w:r>
            <w:r w:rsidRPr="009D0996">
              <w:t xml:space="preserve"> 376.6 </w:t>
            </w:r>
            <w:r w:rsidRPr="000A1A88">
              <w:rPr>
                <w:vertAlign w:val="subscript"/>
              </w:rPr>
              <w:t>823.3</w:t>
            </w:r>
          </w:p>
        </w:tc>
        <w:tc>
          <w:tcPr>
            <w:tcW w:w="1980" w:type="dxa"/>
            <w:gridSpan w:val="2"/>
            <w:hideMark/>
          </w:tcPr>
          <w:p w14:paraId="36D96AB7" w14:textId="1EFCA51F" w:rsidR="00A052D6" w:rsidRPr="009D0996" w:rsidRDefault="00A052D6" w:rsidP="00A052D6">
            <w:r w:rsidRPr="00104040">
              <w:rPr>
                <w:vertAlign w:val="subscript"/>
              </w:rPr>
              <w:t>97.8</w:t>
            </w:r>
            <w:r w:rsidRPr="00104040">
              <w:t xml:space="preserve"> 357.2 </w:t>
            </w:r>
            <w:r w:rsidRPr="00104040">
              <w:rPr>
                <w:vertAlign w:val="subscript"/>
              </w:rPr>
              <w:t>813.4</w:t>
            </w:r>
          </w:p>
        </w:tc>
      </w:tr>
      <w:tr w:rsidR="00A052D6" w:rsidRPr="009D0996" w14:paraId="1C86F378" w14:textId="77777777" w:rsidTr="00C75E6F">
        <w:tc>
          <w:tcPr>
            <w:tcW w:w="715" w:type="dxa"/>
            <w:gridSpan w:val="2"/>
            <w:hideMark/>
          </w:tcPr>
          <w:p w14:paraId="1CBBA779" w14:textId="75735AB9" w:rsidR="00A052D6" w:rsidRPr="009D0996" w:rsidRDefault="00A052D6" w:rsidP="00A052D6">
            <w:r>
              <w:t>7</w:t>
            </w:r>
          </w:p>
        </w:tc>
        <w:tc>
          <w:tcPr>
            <w:tcW w:w="3420" w:type="dxa"/>
            <w:hideMark/>
          </w:tcPr>
          <w:p w14:paraId="3D647EEB" w14:textId="11BDF7BA" w:rsidR="00A052D6" w:rsidRPr="009D0996" w:rsidRDefault="00A052D6" w:rsidP="00A052D6">
            <w:r w:rsidRPr="002C2F67">
              <w:rPr>
                <w:vertAlign w:val="subscript"/>
              </w:rPr>
              <w:t>16</w:t>
            </w:r>
            <w:r w:rsidR="006610BA">
              <w:rPr>
                <w:vertAlign w:val="subscript"/>
              </w:rPr>
              <w:t>3.8</w:t>
            </w:r>
            <w:r w:rsidRPr="009D0996">
              <w:t xml:space="preserve"> 419</w:t>
            </w:r>
            <w:r w:rsidR="006610BA">
              <w:t>.2</w:t>
            </w:r>
            <w:r w:rsidRPr="009D0996">
              <w:t xml:space="preserve"> </w:t>
            </w:r>
            <w:r w:rsidRPr="002C2F67">
              <w:rPr>
                <w:vertAlign w:val="subscript"/>
              </w:rPr>
              <w:t>98</w:t>
            </w:r>
            <w:r w:rsidR="006610BA">
              <w:rPr>
                <w:vertAlign w:val="subscript"/>
              </w:rPr>
              <w:t>3.9</w:t>
            </w:r>
          </w:p>
        </w:tc>
        <w:tc>
          <w:tcPr>
            <w:tcW w:w="3510" w:type="dxa"/>
            <w:gridSpan w:val="2"/>
            <w:hideMark/>
          </w:tcPr>
          <w:p w14:paraId="5365C334" w14:textId="38FC91A6" w:rsidR="00A052D6" w:rsidRPr="009D0996" w:rsidRDefault="00A052D6" w:rsidP="00A052D6">
            <w:r w:rsidRPr="000A1A88">
              <w:rPr>
                <w:vertAlign w:val="subscript"/>
              </w:rPr>
              <w:t>284</w:t>
            </w:r>
            <w:r w:rsidR="006610BA">
              <w:rPr>
                <w:vertAlign w:val="subscript"/>
              </w:rPr>
              <w:t>.0</w:t>
            </w:r>
            <w:r w:rsidRPr="009D0996">
              <w:t xml:space="preserve"> 42</w:t>
            </w:r>
            <w:r w:rsidR="006610BA">
              <w:t>0.8</w:t>
            </w:r>
            <w:r w:rsidRPr="009D0996">
              <w:t xml:space="preserve"> </w:t>
            </w:r>
            <w:r w:rsidRPr="000A1A88">
              <w:rPr>
                <w:vertAlign w:val="subscript"/>
              </w:rPr>
              <w:t>1918</w:t>
            </w:r>
            <w:r w:rsidR="006610BA">
              <w:rPr>
                <w:vertAlign w:val="subscript"/>
              </w:rPr>
              <w:t>.0</w:t>
            </w:r>
          </w:p>
        </w:tc>
        <w:tc>
          <w:tcPr>
            <w:tcW w:w="1980" w:type="dxa"/>
            <w:gridSpan w:val="2"/>
            <w:hideMark/>
          </w:tcPr>
          <w:p w14:paraId="01FE86D3" w14:textId="7C3580FB" w:rsidR="00A052D6" w:rsidRPr="009D0996" w:rsidRDefault="00A052D6" w:rsidP="00A052D6">
            <w:r w:rsidRPr="00104040">
              <w:rPr>
                <w:vertAlign w:val="subscript"/>
              </w:rPr>
              <w:t>238.6</w:t>
            </w:r>
            <w:r w:rsidRPr="00104040">
              <w:t xml:space="preserve"> 420.0 </w:t>
            </w:r>
            <w:r w:rsidRPr="00104040">
              <w:rPr>
                <w:vertAlign w:val="subscript"/>
              </w:rPr>
              <w:t>1241.5</w:t>
            </w:r>
          </w:p>
        </w:tc>
      </w:tr>
      <w:tr w:rsidR="00A052D6" w:rsidRPr="009D0996" w14:paraId="6940B2A7" w14:textId="77777777" w:rsidTr="00C75E6F">
        <w:tc>
          <w:tcPr>
            <w:tcW w:w="715" w:type="dxa"/>
            <w:gridSpan w:val="2"/>
            <w:hideMark/>
          </w:tcPr>
          <w:p w14:paraId="0036F986" w14:textId="07455C3A" w:rsidR="00A052D6" w:rsidRPr="009D0996" w:rsidRDefault="00A052D6" w:rsidP="00A052D6">
            <w:r>
              <w:t>21</w:t>
            </w:r>
          </w:p>
        </w:tc>
        <w:tc>
          <w:tcPr>
            <w:tcW w:w="3420" w:type="dxa"/>
            <w:hideMark/>
          </w:tcPr>
          <w:p w14:paraId="5A2E8A46" w14:textId="2E8448E9" w:rsidR="00A052D6" w:rsidRPr="009D0996" w:rsidRDefault="00A052D6" w:rsidP="00A052D6">
            <w:r w:rsidRPr="002C2F67">
              <w:rPr>
                <w:vertAlign w:val="subscript"/>
              </w:rPr>
              <w:t>49.5</w:t>
            </w:r>
            <w:r w:rsidRPr="009D0996">
              <w:t xml:space="preserve"> 120.3 </w:t>
            </w:r>
            <w:r w:rsidRPr="002C2F67">
              <w:rPr>
                <w:vertAlign w:val="subscript"/>
              </w:rPr>
              <w:t>199.8</w:t>
            </w:r>
          </w:p>
        </w:tc>
        <w:tc>
          <w:tcPr>
            <w:tcW w:w="3510" w:type="dxa"/>
            <w:gridSpan w:val="2"/>
            <w:hideMark/>
          </w:tcPr>
          <w:p w14:paraId="467B8E19" w14:textId="6051F581" w:rsidR="00A052D6" w:rsidRPr="009D0996" w:rsidRDefault="00A052D6" w:rsidP="00A052D6">
            <w:r w:rsidRPr="000A1A88">
              <w:rPr>
                <w:vertAlign w:val="subscript"/>
              </w:rPr>
              <w:t>162.7</w:t>
            </w:r>
            <w:r w:rsidRPr="009D0996">
              <w:t xml:space="preserve"> 208.3 </w:t>
            </w:r>
            <w:r w:rsidRPr="000A1A88">
              <w:rPr>
                <w:vertAlign w:val="subscript"/>
              </w:rPr>
              <w:t>319.2</w:t>
            </w:r>
          </w:p>
        </w:tc>
        <w:tc>
          <w:tcPr>
            <w:tcW w:w="1980" w:type="dxa"/>
            <w:gridSpan w:val="2"/>
            <w:hideMark/>
          </w:tcPr>
          <w:p w14:paraId="0D0739CA" w14:textId="024613A2" w:rsidR="00A052D6" w:rsidRPr="009D0996" w:rsidRDefault="00A052D6" w:rsidP="00A052D6">
            <w:r w:rsidRPr="00104040">
              <w:rPr>
                <w:vertAlign w:val="subscript"/>
              </w:rPr>
              <w:t>79.7</w:t>
            </w:r>
            <w:r w:rsidRPr="00104040">
              <w:t xml:space="preserve"> 176.8 </w:t>
            </w:r>
            <w:r w:rsidRPr="00104040">
              <w:rPr>
                <w:vertAlign w:val="subscript"/>
              </w:rPr>
              <w:t>278.4</w:t>
            </w:r>
          </w:p>
        </w:tc>
      </w:tr>
    </w:tbl>
    <w:p w14:paraId="10590557" w14:textId="582EB881" w:rsidR="00EC5082" w:rsidRDefault="00EC5082">
      <w:r>
        <w:br w:type="page"/>
      </w:r>
    </w:p>
    <w:p w14:paraId="42AE9A2C" w14:textId="4B18F369" w:rsidR="0061282E" w:rsidRDefault="009B7257" w:rsidP="0061282E">
      <w:r>
        <w:rPr>
          <w:b/>
          <w:bCs/>
        </w:rPr>
        <w:lastRenderedPageBreak/>
        <w:t>Table S</w:t>
      </w:r>
      <w:r w:rsidR="00832CF4">
        <w:rPr>
          <w:b/>
          <w:bCs/>
        </w:rPr>
        <w:t>3</w:t>
      </w:r>
      <w:r>
        <w:rPr>
          <w:b/>
          <w:bCs/>
        </w:rPr>
        <w:t>:</w:t>
      </w:r>
      <w:r w:rsidR="0061282E" w:rsidRPr="0061282E">
        <w:t xml:space="preserve"> </w:t>
      </w:r>
      <w:r w:rsidR="00936A47">
        <w:t xml:space="preserve">(Top) </w:t>
      </w:r>
      <w:proofErr w:type="spellStart"/>
      <w:r w:rsidR="0061282E">
        <w:t>hsTropT</w:t>
      </w:r>
      <w:proofErr w:type="spellEnd"/>
      <w:r w:rsidR="0061282E">
        <w:t xml:space="preserve"> levels</w:t>
      </w:r>
      <w:r w:rsidR="00936A47">
        <w:t xml:space="preserve"> and (Bottom) </w:t>
      </w:r>
      <w:proofErr w:type="spellStart"/>
      <w:r w:rsidR="00936A47">
        <w:t>NTproBNP</w:t>
      </w:r>
      <w:proofErr w:type="spellEnd"/>
      <w:r w:rsidR="00936A47">
        <w:t xml:space="preserve"> levels</w:t>
      </w:r>
      <w:r w:rsidR="0061282E">
        <w:t xml:space="preserve"> at baseline</w:t>
      </w:r>
      <w:r w:rsidR="004372B8">
        <w:t xml:space="preserve"> (BL)</w:t>
      </w:r>
      <w:r w:rsidR="0061282E">
        <w:t xml:space="preserve">, day 1, day 7, and day 21 grouped </w:t>
      </w:r>
      <w:proofErr w:type="spellStart"/>
      <w:r w:rsidR="0061282E">
        <w:t>subgrouped</w:t>
      </w:r>
      <w:proofErr w:type="spellEnd"/>
      <w:r w:rsidR="0061282E">
        <w:t xml:space="preserve"> by presence of i</w:t>
      </w:r>
      <w:r w:rsidR="0061282E" w:rsidRPr="001567C8">
        <w:t>mmune effector cell-associated neurotoxicity syndrome</w:t>
      </w:r>
      <w:r w:rsidR="0061282E">
        <w:t xml:space="preserve"> (ICANS). </w:t>
      </w:r>
      <w:r w:rsidR="0061282E" w:rsidRPr="00210D11">
        <w:rPr>
          <w:vertAlign w:val="subscript"/>
        </w:rPr>
        <w:t>a</w:t>
      </w:r>
      <w:r w:rsidR="0061282E" w:rsidRPr="000B0A87">
        <w:t xml:space="preserve"> b </w:t>
      </w:r>
      <w:r w:rsidR="0061282E" w:rsidRPr="00210D11">
        <w:rPr>
          <w:vertAlign w:val="subscript"/>
        </w:rPr>
        <w:t>c</w:t>
      </w:r>
      <w:r w:rsidR="0061282E" w:rsidRPr="000B0A87">
        <w:t xml:space="preserve"> represent the lower quartile a, the median b, and the upper quartile c</w:t>
      </w:r>
      <w:r w:rsidR="0061282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1953"/>
        <w:gridCol w:w="1999"/>
        <w:gridCol w:w="2024"/>
      </w:tblGrid>
      <w:tr w:rsidR="00864048" w:rsidRPr="009C15B3" w14:paraId="57490F1B" w14:textId="77777777" w:rsidTr="00D64B79">
        <w:tc>
          <w:tcPr>
            <w:tcW w:w="6978" w:type="dxa"/>
            <w:gridSpan w:val="4"/>
            <w:shd w:val="clear" w:color="auto" w:fill="BFBFBF" w:themeFill="background1" w:themeFillShade="BF"/>
          </w:tcPr>
          <w:p w14:paraId="6C8C23DF" w14:textId="648A9CB9" w:rsidR="00864048" w:rsidRPr="00405383" w:rsidRDefault="00864048" w:rsidP="006B120C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405383">
              <w:rPr>
                <w:b/>
                <w:bCs/>
                <w:i/>
                <w:iCs/>
              </w:rPr>
              <w:t>hsTropT</w:t>
            </w:r>
            <w:proofErr w:type="spellEnd"/>
            <w:r>
              <w:rPr>
                <w:b/>
                <w:bCs/>
                <w:i/>
                <w:iCs/>
              </w:rPr>
              <w:t xml:space="preserve"> (ng/L)</w:t>
            </w:r>
          </w:p>
        </w:tc>
      </w:tr>
      <w:tr w:rsidR="00AA6ACB" w:rsidRPr="00AA6ACB" w14:paraId="0FF8374A" w14:textId="77777777" w:rsidTr="00D64B79">
        <w:tc>
          <w:tcPr>
            <w:tcW w:w="1002" w:type="dxa"/>
          </w:tcPr>
          <w:p w14:paraId="37F8C2FC" w14:textId="5E02151C" w:rsidR="00AA6ACB" w:rsidRPr="00AA6ACB" w:rsidRDefault="00AA6ACB" w:rsidP="00AA6ACB">
            <w:r w:rsidRPr="00980895">
              <w:t>Day</w:t>
            </w:r>
          </w:p>
        </w:tc>
        <w:tc>
          <w:tcPr>
            <w:tcW w:w="1953" w:type="dxa"/>
          </w:tcPr>
          <w:p w14:paraId="56D88853" w14:textId="10F0A96B" w:rsidR="00AA6ACB" w:rsidRPr="00AA6ACB" w:rsidRDefault="00AA6ACB" w:rsidP="00AA6ACB">
            <w:r w:rsidRPr="00980895">
              <w:t>No ICANS (n</w:t>
            </w:r>
            <w:r w:rsidRPr="00104040">
              <w:t>=21</w:t>
            </w:r>
            <w:r w:rsidRPr="00980895">
              <w:t>)</w:t>
            </w:r>
          </w:p>
        </w:tc>
        <w:tc>
          <w:tcPr>
            <w:tcW w:w="1999" w:type="dxa"/>
          </w:tcPr>
          <w:p w14:paraId="4BF2CD6A" w14:textId="7BA023F7" w:rsidR="00AA6ACB" w:rsidRPr="00AA6ACB" w:rsidRDefault="00AA6ACB" w:rsidP="00AA6ACB">
            <w:r w:rsidRPr="00980895">
              <w:t>Yes ICANS (n</w:t>
            </w:r>
            <w:r w:rsidRPr="00104040">
              <w:t>=19</w:t>
            </w:r>
            <w:r w:rsidRPr="00980895">
              <w:t>)</w:t>
            </w:r>
          </w:p>
        </w:tc>
        <w:tc>
          <w:tcPr>
            <w:tcW w:w="2024" w:type="dxa"/>
          </w:tcPr>
          <w:p w14:paraId="3CBF3F9D" w14:textId="4990C07A" w:rsidR="00AA6ACB" w:rsidRPr="00AA6ACB" w:rsidRDefault="00AA6ACB" w:rsidP="00AA6ACB">
            <w:r w:rsidRPr="00104040">
              <w:t>Combined</w:t>
            </w:r>
            <w:r w:rsidRPr="00980895">
              <w:t xml:space="preserve"> (n</w:t>
            </w:r>
            <w:r w:rsidRPr="00104040">
              <w:t>=40</w:t>
            </w:r>
            <w:r w:rsidRPr="00980895">
              <w:t>)</w:t>
            </w:r>
          </w:p>
        </w:tc>
      </w:tr>
      <w:tr w:rsidR="00AA6ACB" w:rsidRPr="00AA6ACB" w14:paraId="4AFF6ABB" w14:textId="77777777" w:rsidTr="00D64B79">
        <w:tc>
          <w:tcPr>
            <w:tcW w:w="1002" w:type="dxa"/>
            <w:hideMark/>
          </w:tcPr>
          <w:p w14:paraId="47DE06D9" w14:textId="3C3447C2" w:rsidR="00AA6ACB" w:rsidRPr="00AA6ACB" w:rsidRDefault="00076C1B" w:rsidP="00AA6ACB">
            <w:r>
              <w:t>BL</w:t>
            </w:r>
          </w:p>
        </w:tc>
        <w:tc>
          <w:tcPr>
            <w:tcW w:w="1953" w:type="dxa"/>
            <w:hideMark/>
          </w:tcPr>
          <w:p w14:paraId="0611CE49" w14:textId="3F1E161C" w:rsidR="00AA6ACB" w:rsidRPr="00AA6ACB" w:rsidRDefault="00AA6ACB" w:rsidP="00AA6ACB">
            <w:r w:rsidRPr="00AA6ACB">
              <w:rPr>
                <w:vertAlign w:val="subscript"/>
              </w:rPr>
              <w:t>7.2</w:t>
            </w:r>
            <w:r w:rsidRPr="00AA6ACB">
              <w:t xml:space="preserve"> 9.</w:t>
            </w:r>
            <w:r w:rsidR="00DC7F4A">
              <w:t>5</w:t>
            </w:r>
            <w:r w:rsidRPr="00AA6ACB">
              <w:t xml:space="preserve"> </w:t>
            </w:r>
            <w:r w:rsidRPr="00AA6ACB">
              <w:rPr>
                <w:vertAlign w:val="subscript"/>
              </w:rPr>
              <w:t>13.1</w:t>
            </w:r>
          </w:p>
        </w:tc>
        <w:tc>
          <w:tcPr>
            <w:tcW w:w="1999" w:type="dxa"/>
            <w:hideMark/>
          </w:tcPr>
          <w:p w14:paraId="74236E01" w14:textId="5611DBA3" w:rsidR="00AA6ACB" w:rsidRPr="00AA6ACB" w:rsidRDefault="00AA6ACB" w:rsidP="00AA6ACB">
            <w:r w:rsidRPr="00AA6ACB">
              <w:rPr>
                <w:vertAlign w:val="subscript"/>
              </w:rPr>
              <w:t>10.9</w:t>
            </w:r>
            <w:r w:rsidRPr="00AA6ACB">
              <w:t xml:space="preserve"> 1</w:t>
            </w:r>
            <w:r w:rsidR="00EF759A">
              <w:t>6.0</w:t>
            </w:r>
            <w:r w:rsidRPr="00AA6ACB">
              <w:t xml:space="preserve"> </w:t>
            </w:r>
            <w:r w:rsidRPr="00AA6ACB">
              <w:rPr>
                <w:vertAlign w:val="subscript"/>
              </w:rPr>
              <w:t>20.</w:t>
            </w:r>
            <w:r w:rsidR="00EF759A">
              <w:rPr>
                <w:vertAlign w:val="subscript"/>
              </w:rPr>
              <w:t>8</w:t>
            </w:r>
          </w:p>
        </w:tc>
        <w:tc>
          <w:tcPr>
            <w:tcW w:w="2024" w:type="dxa"/>
            <w:hideMark/>
          </w:tcPr>
          <w:p w14:paraId="0E401201" w14:textId="44EE22BF" w:rsidR="00AA6ACB" w:rsidRPr="00AA6ACB" w:rsidRDefault="00AA6ACB" w:rsidP="00AA6ACB">
            <w:r w:rsidRPr="00AA6ACB">
              <w:rPr>
                <w:vertAlign w:val="subscript"/>
              </w:rPr>
              <w:t>9.2</w:t>
            </w:r>
            <w:r w:rsidRPr="00AA6ACB">
              <w:t xml:space="preserve"> 12.1 </w:t>
            </w:r>
            <w:r w:rsidRPr="00AA6ACB">
              <w:rPr>
                <w:vertAlign w:val="subscript"/>
              </w:rPr>
              <w:t>20.</w:t>
            </w:r>
            <w:r w:rsidR="00EF759A">
              <w:rPr>
                <w:vertAlign w:val="subscript"/>
              </w:rPr>
              <w:t>1</w:t>
            </w:r>
          </w:p>
        </w:tc>
      </w:tr>
      <w:tr w:rsidR="00AA6ACB" w:rsidRPr="00AA6ACB" w14:paraId="6E0A8673" w14:textId="77777777" w:rsidTr="00D64B79">
        <w:tc>
          <w:tcPr>
            <w:tcW w:w="1002" w:type="dxa"/>
            <w:hideMark/>
          </w:tcPr>
          <w:p w14:paraId="43AE74E1" w14:textId="77374433" w:rsidR="00AA6ACB" w:rsidRPr="00AA6ACB" w:rsidRDefault="00AA6ACB" w:rsidP="00AA6ACB">
            <w:r>
              <w:t>1</w:t>
            </w:r>
          </w:p>
        </w:tc>
        <w:tc>
          <w:tcPr>
            <w:tcW w:w="1953" w:type="dxa"/>
            <w:hideMark/>
          </w:tcPr>
          <w:p w14:paraId="60CBF974" w14:textId="184FC206" w:rsidR="00AA6ACB" w:rsidRPr="00AA6ACB" w:rsidRDefault="00AA6ACB" w:rsidP="00AA6ACB">
            <w:r w:rsidRPr="00AA6ACB">
              <w:rPr>
                <w:vertAlign w:val="subscript"/>
              </w:rPr>
              <w:t>8.8</w:t>
            </w:r>
            <w:r w:rsidRPr="00AA6ACB">
              <w:t xml:space="preserve"> 11.</w:t>
            </w:r>
            <w:r w:rsidR="00DC7F4A">
              <w:t>5</w:t>
            </w:r>
            <w:r w:rsidRPr="00AA6ACB">
              <w:t xml:space="preserve"> </w:t>
            </w:r>
            <w:r w:rsidRPr="00AA6ACB">
              <w:rPr>
                <w:vertAlign w:val="subscript"/>
              </w:rPr>
              <w:t>16.</w:t>
            </w:r>
            <w:r w:rsidR="00DC7F4A">
              <w:rPr>
                <w:vertAlign w:val="subscript"/>
              </w:rPr>
              <w:t>3</w:t>
            </w:r>
          </w:p>
        </w:tc>
        <w:tc>
          <w:tcPr>
            <w:tcW w:w="1999" w:type="dxa"/>
            <w:hideMark/>
          </w:tcPr>
          <w:p w14:paraId="0C2DB82D" w14:textId="0623EDE3" w:rsidR="00AA6ACB" w:rsidRPr="00AA6ACB" w:rsidRDefault="00AA6ACB" w:rsidP="00AA6ACB">
            <w:r w:rsidRPr="00AA6ACB">
              <w:rPr>
                <w:vertAlign w:val="subscript"/>
              </w:rPr>
              <w:t>10.1</w:t>
            </w:r>
            <w:r w:rsidRPr="00AA6ACB">
              <w:t xml:space="preserve"> 16.</w:t>
            </w:r>
            <w:r w:rsidR="00EF759A">
              <w:t>4</w:t>
            </w:r>
            <w:r w:rsidRPr="00AA6ACB">
              <w:t xml:space="preserve"> </w:t>
            </w:r>
            <w:r w:rsidRPr="00AA6ACB">
              <w:rPr>
                <w:vertAlign w:val="subscript"/>
              </w:rPr>
              <w:t>27.</w:t>
            </w:r>
            <w:r w:rsidR="00EF759A">
              <w:rPr>
                <w:vertAlign w:val="subscript"/>
              </w:rPr>
              <w:t>5</w:t>
            </w:r>
          </w:p>
        </w:tc>
        <w:tc>
          <w:tcPr>
            <w:tcW w:w="2024" w:type="dxa"/>
            <w:hideMark/>
          </w:tcPr>
          <w:p w14:paraId="50FF5270" w14:textId="7EB7D313" w:rsidR="00AA6ACB" w:rsidRPr="00AA6ACB" w:rsidRDefault="00AA6ACB" w:rsidP="00AA6ACB">
            <w:r w:rsidRPr="00AA6ACB">
              <w:rPr>
                <w:vertAlign w:val="subscript"/>
              </w:rPr>
              <w:t>9.6</w:t>
            </w:r>
            <w:r w:rsidRPr="00AA6ACB">
              <w:t xml:space="preserve"> 13.1 </w:t>
            </w:r>
            <w:r w:rsidRPr="00AA6ACB">
              <w:rPr>
                <w:vertAlign w:val="subscript"/>
              </w:rPr>
              <w:t>24.2</w:t>
            </w:r>
          </w:p>
        </w:tc>
      </w:tr>
      <w:tr w:rsidR="00AA6ACB" w:rsidRPr="00AA6ACB" w14:paraId="333406DF" w14:textId="77777777" w:rsidTr="00D64B79">
        <w:tc>
          <w:tcPr>
            <w:tcW w:w="1002" w:type="dxa"/>
            <w:hideMark/>
          </w:tcPr>
          <w:p w14:paraId="24D4DBF8" w14:textId="22A1F1D3" w:rsidR="00AA6ACB" w:rsidRPr="00AA6ACB" w:rsidRDefault="00AA6ACB" w:rsidP="00AA6ACB">
            <w:r>
              <w:t>7</w:t>
            </w:r>
          </w:p>
        </w:tc>
        <w:tc>
          <w:tcPr>
            <w:tcW w:w="1953" w:type="dxa"/>
            <w:hideMark/>
          </w:tcPr>
          <w:p w14:paraId="5D943864" w14:textId="6C528AB9" w:rsidR="00AA6ACB" w:rsidRPr="00AA6ACB" w:rsidRDefault="00AA6ACB" w:rsidP="00AA6ACB">
            <w:r w:rsidRPr="00AA6ACB">
              <w:rPr>
                <w:vertAlign w:val="subscript"/>
              </w:rPr>
              <w:t>8.</w:t>
            </w:r>
            <w:r w:rsidR="00DC7F4A">
              <w:rPr>
                <w:vertAlign w:val="subscript"/>
              </w:rPr>
              <w:t>8</w:t>
            </w:r>
            <w:r w:rsidRPr="00AA6ACB">
              <w:t xml:space="preserve"> 11.2 </w:t>
            </w:r>
            <w:r w:rsidRPr="00AA6ACB">
              <w:rPr>
                <w:vertAlign w:val="subscript"/>
              </w:rPr>
              <w:t>16.</w:t>
            </w:r>
            <w:r w:rsidR="00DC7F4A">
              <w:rPr>
                <w:vertAlign w:val="subscript"/>
              </w:rPr>
              <w:t>6</w:t>
            </w:r>
          </w:p>
        </w:tc>
        <w:tc>
          <w:tcPr>
            <w:tcW w:w="1999" w:type="dxa"/>
            <w:hideMark/>
          </w:tcPr>
          <w:p w14:paraId="1A444F96" w14:textId="2270FA5B" w:rsidR="00AA6ACB" w:rsidRPr="00AA6ACB" w:rsidRDefault="00AA6ACB" w:rsidP="00AA6ACB">
            <w:r w:rsidRPr="00AA6ACB">
              <w:rPr>
                <w:vertAlign w:val="subscript"/>
              </w:rPr>
              <w:t>11.</w:t>
            </w:r>
            <w:r w:rsidR="00EF759A">
              <w:rPr>
                <w:vertAlign w:val="subscript"/>
              </w:rPr>
              <w:t>2</w:t>
            </w:r>
            <w:r w:rsidRPr="00AA6ACB">
              <w:t xml:space="preserve"> 13.8 </w:t>
            </w:r>
            <w:r w:rsidRPr="00AA6ACB">
              <w:rPr>
                <w:vertAlign w:val="subscript"/>
              </w:rPr>
              <w:t>18.</w:t>
            </w:r>
            <w:r w:rsidR="00EF759A">
              <w:rPr>
                <w:vertAlign w:val="subscript"/>
              </w:rPr>
              <w:t>3</w:t>
            </w:r>
          </w:p>
        </w:tc>
        <w:tc>
          <w:tcPr>
            <w:tcW w:w="2024" w:type="dxa"/>
            <w:hideMark/>
          </w:tcPr>
          <w:p w14:paraId="49ADFF9D" w14:textId="6D296A00" w:rsidR="00AA6ACB" w:rsidRPr="00AA6ACB" w:rsidRDefault="00AA6ACB" w:rsidP="00AA6ACB">
            <w:r w:rsidRPr="00AA6ACB">
              <w:rPr>
                <w:vertAlign w:val="subscript"/>
              </w:rPr>
              <w:t>9.6</w:t>
            </w:r>
            <w:r w:rsidRPr="00AA6ACB">
              <w:t xml:space="preserve"> 11.9 </w:t>
            </w:r>
            <w:r w:rsidRPr="00AA6ACB">
              <w:rPr>
                <w:vertAlign w:val="subscript"/>
              </w:rPr>
              <w:t>18.0</w:t>
            </w:r>
          </w:p>
        </w:tc>
      </w:tr>
      <w:tr w:rsidR="00AA6ACB" w:rsidRPr="00AA6ACB" w14:paraId="1F3E2965" w14:textId="77777777" w:rsidTr="00D64B79">
        <w:tc>
          <w:tcPr>
            <w:tcW w:w="1002" w:type="dxa"/>
            <w:hideMark/>
          </w:tcPr>
          <w:p w14:paraId="6DF874DF" w14:textId="2075C39D" w:rsidR="00AA6ACB" w:rsidRPr="00AA6ACB" w:rsidRDefault="00AA6ACB" w:rsidP="00AA6ACB">
            <w:r>
              <w:t>21</w:t>
            </w:r>
          </w:p>
        </w:tc>
        <w:tc>
          <w:tcPr>
            <w:tcW w:w="1953" w:type="dxa"/>
            <w:hideMark/>
          </w:tcPr>
          <w:p w14:paraId="2EC4D729" w14:textId="13B54CF2" w:rsidR="00AA6ACB" w:rsidRPr="00AA6ACB" w:rsidRDefault="00AA6ACB" w:rsidP="00AA6ACB">
            <w:r w:rsidRPr="00AA6ACB">
              <w:rPr>
                <w:vertAlign w:val="subscript"/>
              </w:rPr>
              <w:t>9.</w:t>
            </w:r>
            <w:r w:rsidR="00DC7F4A">
              <w:rPr>
                <w:vertAlign w:val="subscript"/>
              </w:rPr>
              <w:t>9</w:t>
            </w:r>
            <w:r w:rsidRPr="00AA6ACB">
              <w:t xml:space="preserve"> 12.1 </w:t>
            </w:r>
            <w:r w:rsidRPr="00AA6ACB">
              <w:rPr>
                <w:vertAlign w:val="subscript"/>
              </w:rPr>
              <w:t>18.</w:t>
            </w:r>
            <w:r w:rsidR="00DC7F4A">
              <w:rPr>
                <w:vertAlign w:val="subscript"/>
              </w:rPr>
              <w:t>6</w:t>
            </w:r>
          </w:p>
        </w:tc>
        <w:tc>
          <w:tcPr>
            <w:tcW w:w="1999" w:type="dxa"/>
            <w:hideMark/>
          </w:tcPr>
          <w:p w14:paraId="507F1F47" w14:textId="244B00BB" w:rsidR="00AA6ACB" w:rsidRPr="00AA6ACB" w:rsidRDefault="00AA6ACB" w:rsidP="00AA6ACB">
            <w:r w:rsidRPr="00AA6ACB">
              <w:rPr>
                <w:vertAlign w:val="subscript"/>
              </w:rPr>
              <w:t>14.</w:t>
            </w:r>
            <w:r w:rsidR="00EF759A">
              <w:rPr>
                <w:vertAlign w:val="subscript"/>
              </w:rPr>
              <w:t>6</w:t>
            </w:r>
            <w:r w:rsidRPr="00AA6ACB">
              <w:t xml:space="preserve"> 18.1 </w:t>
            </w:r>
            <w:r w:rsidRPr="00AA6ACB">
              <w:rPr>
                <w:vertAlign w:val="subscript"/>
              </w:rPr>
              <w:t>21.3</w:t>
            </w:r>
          </w:p>
        </w:tc>
        <w:tc>
          <w:tcPr>
            <w:tcW w:w="2024" w:type="dxa"/>
            <w:hideMark/>
          </w:tcPr>
          <w:p w14:paraId="37DFC966" w14:textId="68D463A1" w:rsidR="00AA6ACB" w:rsidRPr="00AA6ACB" w:rsidRDefault="00AA6ACB" w:rsidP="00AA6ACB">
            <w:r w:rsidRPr="00AA6ACB">
              <w:rPr>
                <w:vertAlign w:val="subscript"/>
              </w:rPr>
              <w:t>10.8</w:t>
            </w:r>
            <w:r w:rsidRPr="00AA6ACB">
              <w:t xml:space="preserve"> 15.</w:t>
            </w:r>
            <w:r w:rsidR="00EF759A">
              <w:t>3</w:t>
            </w:r>
            <w:r w:rsidRPr="00AA6ACB">
              <w:t xml:space="preserve"> </w:t>
            </w:r>
            <w:r w:rsidRPr="00AA6ACB">
              <w:rPr>
                <w:vertAlign w:val="subscript"/>
              </w:rPr>
              <w:t>20.2</w:t>
            </w:r>
          </w:p>
        </w:tc>
      </w:tr>
      <w:tr w:rsidR="00135447" w:rsidRPr="009C15B3" w14:paraId="4F8BE6A1" w14:textId="77777777" w:rsidTr="00D64B79">
        <w:tc>
          <w:tcPr>
            <w:tcW w:w="6978" w:type="dxa"/>
            <w:gridSpan w:val="4"/>
            <w:shd w:val="clear" w:color="auto" w:fill="BFBFBF" w:themeFill="background1" w:themeFillShade="BF"/>
          </w:tcPr>
          <w:p w14:paraId="5544E82D" w14:textId="0CF9C649" w:rsidR="00135447" w:rsidRPr="00405383" w:rsidRDefault="00135447" w:rsidP="006B120C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NTproBNP</w:t>
            </w:r>
            <w:proofErr w:type="spellEnd"/>
            <w:r>
              <w:rPr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</w:rPr>
              <w:t>pg</w:t>
            </w:r>
            <w:proofErr w:type="spellEnd"/>
            <w:r>
              <w:rPr>
                <w:b/>
                <w:bCs/>
                <w:i/>
                <w:iCs/>
              </w:rPr>
              <w:t>/mL)</w:t>
            </w:r>
          </w:p>
        </w:tc>
      </w:tr>
      <w:tr w:rsidR="00104040" w:rsidRPr="00980895" w14:paraId="267F4687" w14:textId="77777777" w:rsidTr="00D64B79">
        <w:tc>
          <w:tcPr>
            <w:tcW w:w="1002" w:type="dxa"/>
          </w:tcPr>
          <w:p w14:paraId="235E1335" w14:textId="5CDAF493" w:rsidR="00104040" w:rsidRPr="00980895" w:rsidRDefault="005E3AC5" w:rsidP="00104040">
            <w:r w:rsidRPr="00980895">
              <w:t>Day</w:t>
            </w:r>
          </w:p>
        </w:tc>
        <w:tc>
          <w:tcPr>
            <w:tcW w:w="1953" w:type="dxa"/>
          </w:tcPr>
          <w:p w14:paraId="681DD404" w14:textId="4C6F00EE" w:rsidR="00104040" w:rsidRPr="00980895" w:rsidRDefault="005E3AC5" w:rsidP="00104040">
            <w:r w:rsidRPr="00980895">
              <w:t>No ICANS (n</w:t>
            </w:r>
            <w:r w:rsidR="00104040" w:rsidRPr="00104040">
              <w:t>=21</w:t>
            </w:r>
            <w:r w:rsidRPr="00980895">
              <w:t>)</w:t>
            </w:r>
          </w:p>
        </w:tc>
        <w:tc>
          <w:tcPr>
            <w:tcW w:w="0" w:type="auto"/>
          </w:tcPr>
          <w:p w14:paraId="5B5B97A9" w14:textId="462026C3" w:rsidR="00104040" w:rsidRPr="00980895" w:rsidRDefault="005E3AC5" w:rsidP="00104040">
            <w:r w:rsidRPr="00980895">
              <w:t>Yes ICANS (</w:t>
            </w:r>
            <w:r w:rsidR="000A42D8" w:rsidRPr="00980895">
              <w:t>n</w:t>
            </w:r>
            <w:r w:rsidR="00104040" w:rsidRPr="00104040">
              <w:t>=19</w:t>
            </w:r>
            <w:r w:rsidR="000A42D8" w:rsidRPr="00980895">
              <w:t>)</w:t>
            </w:r>
          </w:p>
        </w:tc>
        <w:tc>
          <w:tcPr>
            <w:tcW w:w="2024" w:type="dxa"/>
          </w:tcPr>
          <w:p w14:paraId="63D6120C" w14:textId="69847820" w:rsidR="00104040" w:rsidRPr="00980895" w:rsidRDefault="00104040" w:rsidP="00104040">
            <w:r w:rsidRPr="00104040">
              <w:t>Combined</w:t>
            </w:r>
            <w:r w:rsidR="000F34FD" w:rsidRPr="00980895">
              <w:t xml:space="preserve"> (n</w:t>
            </w:r>
            <w:r w:rsidRPr="00104040">
              <w:t>=40</w:t>
            </w:r>
            <w:r w:rsidR="000F34FD" w:rsidRPr="00980895">
              <w:t>)</w:t>
            </w:r>
          </w:p>
        </w:tc>
      </w:tr>
      <w:tr w:rsidR="00104040" w:rsidRPr="00104040" w14:paraId="5D02D3D2" w14:textId="77777777" w:rsidTr="00D64B79">
        <w:tc>
          <w:tcPr>
            <w:tcW w:w="1002" w:type="dxa"/>
            <w:hideMark/>
          </w:tcPr>
          <w:p w14:paraId="47D6202B" w14:textId="459A475B" w:rsidR="00104040" w:rsidRPr="00104040" w:rsidRDefault="00076C1B" w:rsidP="00104040">
            <w:r>
              <w:t>BL</w:t>
            </w:r>
          </w:p>
        </w:tc>
        <w:tc>
          <w:tcPr>
            <w:tcW w:w="1953" w:type="dxa"/>
            <w:hideMark/>
          </w:tcPr>
          <w:p w14:paraId="2C271259" w14:textId="69F2E898" w:rsidR="00104040" w:rsidRPr="00104040" w:rsidRDefault="00104040" w:rsidP="00104040">
            <w:r w:rsidRPr="00104040">
              <w:rPr>
                <w:vertAlign w:val="subscript"/>
              </w:rPr>
              <w:t>99.4</w:t>
            </w:r>
            <w:r w:rsidRPr="00104040">
              <w:t xml:space="preserve"> 144.8 </w:t>
            </w:r>
            <w:r w:rsidRPr="00104040">
              <w:rPr>
                <w:vertAlign w:val="subscript"/>
              </w:rPr>
              <w:t>312.2</w:t>
            </w:r>
          </w:p>
        </w:tc>
        <w:tc>
          <w:tcPr>
            <w:tcW w:w="0" w:type="auto"/>
            <w:hideMark/>
          </w:tcPr>
          <w:p w14:paraId="71F7BB5E" w14:textId="71E296B7" w:rsidR="00104040" w:rsidRPr="00104040" w:rsidRDefault="00104040" w:rsidP="00104040">
            <w:r w:rsidRPr="00104040">
              <w:rPr>
                <w:vertAlign w:val="subscript"/>
              </w:rPr>
              <w:t>138.5</w:t>
            </w:r>
            <w:r w:rsidRPr="00104040">
              <w:t xml:space="preserve"> 230.3 </w:t>
            </w:r>
            <w:r w:rsidRPr="00104040">
              <w:rPr>
                <w:vertAlign w:val="subscript"/>
              </w:rPr>
              <w:t>434.4</w:t>
            </w:r>
          </w:p>
        </w:tc>
        <w:tc>
          <w:tcPr>
            <w:tcW w:w="2024" w:type="dxa"/>
            <w:hideMark/>
          </w:tcPr>
          <w:p w14:paraId="47DBF996" w14:textId="4EC90B39" w:rsidR="00104040" w:rsidRPr="00104040" w:rsidRDefault="00104040" w:rsidP="00104040">
            <w:r w:rsidRPr="00104040">
              <w:rPr>
                <w:vertAlign w:val="subscript"/>
              </w:rPr>
              <w:t>116.0</w:t>
            </w:r>
            <w:r w:rsidRPr="00104040">
              <w:t xml:space="preserve"> 179.1 </w:t>
            </w:r>
            <w:r w:rsidRPr="00104040">
              <w:rPr>
                <w:vertAlign w:val="subscript"/>
              </w:rPr>
              <w:t>324.8</w:t>
            </w:r>
          </w:p>
        </w:tc>
      </w:tr>
      <w:tr w:rsidR="00104040" w:rsidRPr="00104040" w14:paraId="292FD72C" w14:textId="77777777" w:rsidTr="00D64B79">
        <w:tc>
          <w:tcPr>
            <w:tcW w:w="1002" w:type="dxa"/>
            <w:hideMark/>
          </w:tcPr>
          <w:p w14:paraId="50850172" w14:textId="4013B70C" w:rsidR="00104040" w:rsidRPr="00104040" w:rsidRDefault="00104040" w:rsidP="00104040">
            <w:r>
              <w:t>1</w:t>
            </w:r>
          </w:p>
        </w:tc>
        <w:tc>
          <w:tcPr>
            <w:tcW w:w="1953" w:type="dxa"/>
            <w:hideMark/>
          </w:tcPr>
          <w:p w14:paraId="0F506EA7" w14:textId="5F0EC8CD" w:rsidR="00104040" w:rsidRPr="00104040" w:rsidRDefault="00104040" w:rsidP="00104040">
            <w:r w:rsidRPr="00104040">
              <w:rPr>
                <w:vertAlign w:val="subscript"/>
              </w:rPr>
              <w:t>65.3</w:t>
            </w:r>
            <w:r w:rsidRPr="00104040">
              <w:t xml:space="preserve"> 207.3 </w:t>
            </w:r>
            <w:r w:rsidRPr="00104040">
              <w:rPr>
                <w:vertAlign w:val="subscript"/>
              </w:rPr>
              <w:t>702.1</w:t>
            </w:r>
          </w:p>
        </w:tc>
        <w:tc>
          <w:tcPr>
            <w:tcW w:w="0" w:type="auto"/>
            <w:hideMark/>
          </w:tcPr>
          <w:p w14:paraId="1BB1A7C1" w14:textId="16C34A7B" w:rsidR="00104040" w:rsidRPr="00104040" w:rsidRDefault="00104040" w:rsidP="00104040">
            <w:r w:rsidRPr="00104040">
              <w:rPr>
                <w:vertAlign w:val="subscript"/>
              </w:rPr>
              <w:t>303.1</w:t>
            </w:r>
            <w:r w:rsidRPr="00104040">
              <w:t xml:space="preserve"> 467.4 </w:t>
            </w:r>
            <w:r w:rsidRPr="00104040">
              <w:rPr>
                <w:vertAlign w:val="subscript"/>
              </w:rPr>
              <w:t>998.6</w:t>
            </w:r>
          </w:p>
        </w:tc>
        <w:tc>
          <w:tcPr>
            <w:tcW w:w="2024" w:type="dxa"/>
            <w:hideMark/>
          </w:tcPr>
          <w:p w14:paraId="097D5B9A" w14:textId="1EBA4C62" w:rsidR="00104040" w:rsidRPr="00104040" w:rsidRDefault="00104040" w:rsidP="00104040">
            <w:r w:rsidRPr="00104040">
              <w:rPr>
                <w:vertAlign w:val="subscript"/>
              </w:rPr>
              <w:t>97.8</w:t>
            </w:r>
            <w:r w:rsidRPr="00104040">
              <w:t xml:space="preserve"> 357.2 </w:t>
            </w:r>
            <w:r w:rsidRPr="00104040">
              <w:rPr>
                <w:vertAlign w:val="subscript"/>
              </w:rPr>
              <w:t>813.4</w:t>
            </w:r>
          </w:p>
        </w:tc>
      </w:tr>
      <w:tr w:rsidR="00104040" w:rsidRPr="00104040" w14:paraId="54A51A35" w14:textId="77777777" w:rsidTr="00D64B79">
        <w:tc>
          <w:tcPr>
            <w:tcW w:w="1002" w:type="dxa"/>
            <w:hideMark/>
          </w:tcPr>
          <w:p w14:paraId="2B5E7D9D" w14:textId="0369AA27" w:rsidR="00104040" w:rsidRPr="00104040" w:rsidRDefault="00104040" w:rsidP="00104040">
            <w:r>
              <w:t>7</w:t>
            </w:r>
          </w:p>
        </w:tc>
        <w:tc>
          <w:tcPr>
            <w:tcW w:w="1953" w:type="dxa"/>
            <w:hideMark/>
          </w:tcPr>
          <w:p w14:paraId="6F9FEDBC" w14:textId="356BC5C7" w:rsidR="00104040" w:rsidRPr="00104040" w:rsidRDefault="00104040" w:rsidP="00104040">
            <w:r w:rsidRPr="00104040">
              <w:rPr>
                <w:vertAlign w:val="subscript"/>
              </w:rPr>
              <w:t>76.6</w:t>
            </w:r>
            <w:r w:rsidRPr="00104040">
              <w:t xml:space="preserve"> 366.5 </w:t>
            </w:r>
            <w:r w:rsidRPr="00104040">
              <w:rPr>
                <w:vertAlign w:val="subscript"/>
              </w:rPr>
              <w:t>794.7</w:t>
            </w:r>
          </w:p>
        </w:tc>
        <w:tc>
          <w:tcPr>
            <w:tcW w:w="0" w:type="auto"/>
            <w:hideMark/>
          </w:tcPr>
          <w:p w14:paraId="65703A8F" w14:textId="5648D75E" w:rsidR="00104040" w:rsidRPr="00104040" w:rsidRDefault="00104040" w:rsidP="00104040">
            <w:r w:rsidRPr="00104040">
              <w:rPr>
                <w:vertAlign w:val="subscript"/>
              </w:rPr>
              <w:t>399.1</w:t>
            </w:r>
            <w:r w:rsidRPr="00104040">
              <w:t xml:space="preserve"> 1057.0 </w:t>
            </w:r>
            <w:r w:rsidRPr="00104040">
              <w:rPr>
                <w:vertAlign w:val="subscript"/>
              </w:rPr>
              <w:t>1409.0</w:t>
            </w:r>
          </w:p>
        </w:tc>
        <w:tc>
          <w:tcPr>
            <w:tcW w:w="2024" w:type="dxa"/>
            <w:hideMark/>
          </w:tcPr>
          <w:p w14:paraId="1D836421" w14:textId="6774A1A1" w:rsidR="00104040" w:rsidRPr="00104040" w:rsidRDefault="00104040" w:rsidP="00104040">
            <w:r w:rsidRPr="00104040">
              <w:rPr>
                <w:vertAlign w:val="subscript"/>
              </w:rPr>
              <w:t>238.6</w:t>
            </w:r>
            <w:r w:rsidRPr="00104040">
              <w:t xml:space="preserve"> 420.0 </w:t>
            </w:r>
            <w:r w:rsidRPr="00104040">
              <w:rPr>
                <w:vertAlign w:val="subscript"/>
              </w:rPr>
              <w:t>1241.5</w:t>
            </w:r>
          </w:p>
        </w:tc>
      </w:tr>
      <w:tr w:rsidR="00104040" w:rsidRPr="00104040" w14:paraId="03DF1871" w14:textId="77777777" w:rsidTr="00D64B79">
        <w:tc>
          <w:tcPr>
            <w:tcW w:w="1002" w:type="dxa"/>
            <w:hideMark/>
          </w:tcPr>
          <w:p w14:paraId="5CEB4363" w14:textId="07E6835A" w:rsidR="00104040" w:rsidRPr="00104040" w:rsidRDefault="00104040" w:rsidP="00104040">
            <w:r>
              <w:t>21</w:t>
            </w:r>
          </w:p>
        </w:tc>
        <w:tc>
          <w:tcPr>
            <w:tcW w:w="1953" w:type="dxa"/>
            <w:hideMark/>
          </w:tcPr>
          <w:p w14:paraId="32A4FB89" w14:textId="4D2EA741" w:rsidR="00104040" w:rsidRPr="00104040" w:rsidRDefault="00104040" w:rsidP="00104040">
            <w:r w:rsidRPr="00104040">
              <w:rPr>
                <w:vertAlign w:val="subscript"/>
              </w:rPr>
              <w:t>104.9</w:t>
            </w:r>
            <w:r w:rsidRPr="00104040">
              <w:t xml:space="preserve"> 176.2 </w:t>
            </w:r>
            <w:r w:rsidRPr="00104040">
              <w:rPr>
                <w:vertAlign w:val="subscript"/>
              </w:rPr>
              <w:t>288.6</w:t>
            </w:r>
          </w:p>
        </w:tc>
        <w:tc>
          <w:tcPr>
            <w:tcW w:w="0" w:type="auto"/>
            <w:hideMark/>
          </w:tcPr>
          <w:p w14:paraId="7E527E19" w14:textId="65F65453" w:rsidR="00104040" w:rsidRPr="00104040" w:rsidRDefault="00104040" w:rsidP="00104040">
            <w:r w:rsidRPr="00104040">
              <w:rPr>
                <w:vertAlign w:val="subscript"/>
              </w:rPr>
              <w:t>79.7</w:t>
            </w:r>
            <w:r w:rsidRPr="00104040">
              <w:t xml:space="preserve"> 177.8 </w:t>
            </w:r>
            <w:r w:rsidRPr="00104040">
              <w:rPr>
                <w:vertAlign w:val="subscript"/>
              </w:rPr>
              <w:t>265.9</w:t>
            </w:r>
          </w:p>
        </w:tc>
        <w:tc>
          <w:tcPr>
            <w:tcW w:w="2024" w:type="dxa"/>
            <w:hideMark/>
          </w:tcPr>
          <w:p w14:paraId="3DBC824A" w14:textId="6A3E95BC" w:rsidR="00104040" w:rsidRPr="00104040" w:rsidRDefault="00104040" w:rsidP="00104040">
            <w:r w:rsidRPr="00104040">
              <w:rPr>
                <w:vertAlign w:val="subscript"/>
              </w:rPr>
              <w:t>79.7</w:t>
            </w:r>
            <w:r w:rsidRPr="00104040">
              <w:t xml:space="preserve"> 176.8 </w:t>
            </w:r>
            <w:r w:rsidRPr="00104040">
              <w:rPr>
                <w:vertAlign w:val="subscript"/>
              </w:rPr>
              <w:t>278.4</w:t>
            </w:r>
          </w:p>
        </w:tc>
      </w:tr>
    </w:tbl>
    <w:p w14:paraId="281CB728" w14:textId="77777777" w:rsidR="00104040" w:rsidRDefault="00104040">
      <w:pPr>
        <w:rPr>
          <w:b/>
          <w:bCs/>
        </w:rPr>
      </w:pPr>
    </w:p>
    <w:p w14:paraId="58525767" w14:textId="03E8CD99" w:rsidR="00402382" w:rsidRPr="00942B18" w:rsidRDefault="00402382">
      <w:pPr>
        <w:rPr>
          <w:b/>
          <w:bCs/>
        </w:rPr>
      </w:pPr>
      <w:r>
        <w:br w:type="page"/>
      </w:r>
    </w:p>
    <w:p w14:paraId="0B2FCBD8" w14:textId="6554ED03" w:rsidR="00D87133" w:rsidRDefault="00CF0E4E">
      <w:r>
        <w:rPr>
          <w:b/>
          <w:bCs/>
        </w:rPr>
        <w:lastRenderedPageBreak/>
        <w:t>Figure S1:</w:t>
      </w:r>
      <w:r>
        <w:t xml:space="preserve"> </w:t>
      </w:r>
      <w:r w:rsidR="00A029FC">
        <w:t xml:space="preserve">Scatter plot depicting baseline </w:t>
      </w:r>
      <w:r w:rsidR="001369C7">
        <w:t xml:space="preserve">serum </w:t>
      </w:r>
      <w:r w:rsidR="00A029FC">
        <w:t>creatinine on the x axis and baseline high-sensitivity troponin T (</w:t>
      </w:r>
      <w:proofErr w:type="spellStart"/>
      <w:r w:rsidR="00A029FC">
        <w:t>hsTropT</w:t>
      </w:r>
      <w:proofErr w:type="spellEnd"/>
      <w:r w:rsidR="00A029FC">
        <w:t xml:space="preserve">) </w:t>
      </w:r>
      <w:r w:rsidR="007E6122">
        <w:t>among 37 patients who underwent chimeric antigen receptor (CAR) T cell therapy</w:t>
      </w:r>
      <w:r w:rsidR="00C37987" w:rsidRPr="00C37987">
        <w:t xml:space="preserve">. </w:t>
      </w:r>
      <w:r w:rsidR="00CB667A" w:rsidRPr="00CB667A">
        <w:t xml:space="preserve">There was no correlation between baseline </w:t>
      </w:r>
      <w:proofErr w:type="spellStart"/>
      <w:r w:rsidR="00CB667A" w:rsidRPr="00CB667A">
        <w:t>hsTropT</w:t>
      </w:r>
      <w:proofErr w:type="spellEnd"/>
      <w:r w:rsidR="00CB667A" w:rsidRPr="00CB667A">
        <w:t xml:space="preserve"> and baseline serum creatinine (p=0.76). </w:t>
      </w:r>
      <w:r w:rsidR="00C37987" w:rsidRPr="00C37987">
        <w:t xml:space="preserve">Note that the sample size here is 37 instead of 40 as 3 patients did not have baseline </w:t>
      </w:r>
      <w:proofErr w:type="spellStart"/>
      <w:r w:rsidR="00C37987" w:rsidRPr="00C37987">
        <w:t>hsTropT</w:t>
      </w:r>
      <w:proofErr w:type="spellEnd"/>
      <w:r w:rsidR="00C37987" w:rsidRPr="00C37987">
        <w:t xml:space="preserve">, so correlations could not be done on those patients. </w:t>
      </w:r>
      <w:r w:rsidR="00380F3E">
        <w:t>Each black dot represents a patient.</w:t>
      </w:r>
      <w:r w:rsidR="00EA7C2B">
        <w:t xml:space="preserve"> The diagonal blue line represents the </w:t>
      </w:r>
      <w:r w:rsidR="00191B7E">
        <w:t xml:space="preserve">slope of the correlation </w:t>
      </w:r>
      <w:r w:rsidR="00D65388">
        <w:t xml:space="preserve">between baseline </w:t>
      </w:r>
      <w:proofErr w:type="spellStart"/>
      <w:r w:rsidR="00D65388">
        <w:t>hsTropT</w:t>
      </w:r>
      <w:proofErr w:type="spellEnd"/>
      <w:r w:rsidR="00D65388">
        <w:t xml:space="preserve"> baseline </w:t>
      </w:r>
      <w:r w:rsidR="001369C7">
        <w:t xml:space="preserve">serum </w:t>
      </w:r>
      <w:r w:rsidR="00D65388">
        <w:t>creatinine.</w:t>
      </w:r>
      <w:r w:rsidR="00380F3E">
        <w:t xml:space="preserve"> The</w:t>
      </w:r>
      <w:r w:rsidR="00EA7C2B">
        <w:t xml:space="preserve"> horizontal</w:t>
      </w:r>
      <w:r w:rsidR="00380F3E">
        <w:t xml:space="preserve"> grey belt represents the 95% confidence interval.</w:t>
      </w:r>
    </w:p>
    <w:p w14:paraId="33AF0C3D" w14:textId="77777777" w:rsidR="00D87133" w:rsidRDefault="00D87133"/>
    <w:p w14:paraId="1830EF77" w14:textId="5BDA45CA" w:rsidR="00E30A44" w:rsidRPr="00E30A44" w:rsidRDefault="00E30A44" w:rsidP="00E30A44">
      <w:pPr>
        <w:rPr>
          <w:rFonts w:ascii="Times New Roman" w:eastAsia="Times New Roman" w:hAnsi="Times New Roman" w:cs="Times New Roman"/>
        </w:rPr>
      </w:pPr>
      <w:r w:rsidRPr="00E30A44">
        <w:rPr>
          <w:b/>
          <w:bCs/>
          <w:noProof/>
        </w:rPr>
        <w:drawing>
          <wp:inline distT="0" distB="0" distL="0" distR="0" wp14:anchorId="453B8A2E" wp14:editId="649A9245">
            <wp:extent cx="3918857" cy="3267389"/>
            <wp:effectExtent l="0" t="0" r="5715" b="0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222" cy="327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C865C" w14:textId="6AD46FA2" w:rsidR="00CF0E4E" w:rsidRDefault="00CF0E4E">
      <w:pPr>
        <w:rPr>
          <w:b/>
          <w:bCs/>
        </w:rPr>
      </w:pPr>
      <w:r>
        <w:rPr>
          <w:b/>
          <w:bCs/>
        </w:rPr>
        <w:br w:type="page"/>
      </w:r>
    </w:p>
    <w:p w14:paraId="3DF4DE21" w14:textId="374FF765" w:rsidR="00AB3FE3" w:rsidRDefault="00AB3FE3" w:rsidP="00AB3FE3">
      <w:r w:rsidRPr="71CFF62A">
        <w:rPr>
          <w:b/>
          <w:bCs/>
        </w:rPr>
        <w:lastRenderedPageBreak/>
        <w:t xml:space="preserve">Figure </w:t>
      </w:r>
      <w:r w:rsidR="000F6699">
        <w:rPr>
          <w:b/>
          <w:bCs/>
        </w:rPr>
        <w:t>S</w:t>
      </w:r>
      <w:r w:rsidR="00821343">
        <w:rPr>
          <w:b/>
          <w:bCs/>
        </w:rPr>
        <w:t>2</w:t>
      </w:r>
      <w:r>
        <w:t>: Visual depiction of levels of high sensitivity troponin T (</w:t>
      </w:r>
      <w:proofErr w:type="spellStart"/>
      <w:r>
        <w:t>hsTropT</w:t>
      </w:r>
      <w:proofErr w:type="spellEnd"/>
      <w:r>
        <w:t>) and N-terminal pro-B natriuretic peptide (</w:t>
      </w:r>
      <w:proofErr w:type="spellStart"/>
      <w:r>
        <w:t>NTproBNP</w:t>
      </w:r>
      <w:proofErr w:type="spellEnd"/>
      <w:r>
        <w:t xml:space="preserve">) among 40 patients who underwent chimeric antigen receptor (CAR) T cell therapy, with each circle representing a single patient at a particular time point. (A and B) Levels of </w:t>
      </w:r>
      <w:proofErr w:type="spellStart"/>
      <w:r>
        <w:t>hsTropT</w:t>
      </w:r>
      <w:proofErr w:type="spellEnd"/>
      <w:r>
        <w:t xml:space="preserve"> and </w:t>
      </w:r>
      <w:proofErr w:type="spellStart"/>
      <w:r>
        <w:t>NTproBNP</w:t>
      </w:r>
      <w:proofErr w:type="spellEnd"/>
      <w:r>
        <w:t xml:space="preserve"> at baseline, day 1, day 7, and day 21. (C and D) Levels of </w:t>
      </w:r>
      <w:proofErr w:type="spellStart"/>
      <w:r>
        <w:t>hsTropT</w:t>
      </w:r>
      <w:proofErr w:type="spellEnd"/>
      <w:r>
        <w:t xml:space="preserve"> and </w:t>
      </w:r>
      <w:proofErr w:type="spellStart"/>
      <w:r>
        <w:t>NTproBNP</w:t>
      </w:r>
      <w:proofErr w:type="spellEnd"/>
      <w:r>
        <w:t xml:space="preserve"> stratified by whether patients experienced grade 2 cytokine release syndrome (n=17/40; teal colored) or not (n=23/40; salmon colored) (E) Levels of </w:t>
      </w:r>
      <w:proofErr w:type="spellStart"/>
      <w:r>
        <w:t>hsTropT</w:t>
      </w:r>
      <w:proofErr w:type="spellEnd"/>
      <w:r>
        <w:t xml:space="preserve"> stratified by whether it was abnormal (&gt;14 ng/L) at baseline (n=17/40; teal-colored) or not (n=23/40; salmon-colored). (F) Levels of </w:t>
      </w:r>
      <w:proofErr w:type="spellStart"/>
      <w:r>
        <w:t>NTproBNP</w:t>
      </w:r>
      <w:proofErr w:type="spellEnd"/>
      <w:r>
        <w:t xml:space="preserve"> stratified by whether it was abnormal (&gt;125 </w:t>
      </w:r>
      <w:proofErr w:type="spellStart"/>
      <w:r>
        <w:t>pg</w:t>
      </w:r>
      <w:proofErr w:type="spellEnd"/>
      <w:r>
        <w:t xml:space="preserve">/mL) at baseline (n=26/40; teal-colored) or not (n=14/40; salmon-colored). </w:t>
      </w:r>
    </w:p>
    <w:p w14:paraId="75FA7994" w14:textId="416B0C19" w:rsidR="00AB3FE3" w:rsidRDefault="00AB3FE3" w:rsidP="00AB3FE3">
      <w:pPr>
        <w:rPr>
          <w:rFonts w:ascii="Times New Roman" w:eastAsia="Times New Roman" w:hAnsi="Times New Roman" w:cs="Times New Roman"/>
        </w:rPr>
      </w:pPr>
    </w:p>
    <w:p w14:paraId="11471B3C" w14:textId="26EF3257" w:rsidR="001A2060" w:rsidRPr="001A2060" w:rsidRDefault="001A2060" w:rsidP="001A2060">
      <w:pPr>
        <w:rPr>
          <w:rFonts w:ascii="Times New Roman" w:eastAsia="Times New Roman" w:hAnsi="Times New Roman" w:cs="Times New Roman"/>
        </w:rPr>
      </w:pPr>
      <w:r w:rsidRPr="001A2060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796E2324" wp14:editId="6B43E683">
            <wp:extent cx="5943600" cy="7726045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73DA4" w14:textId="77777777" w:rsidR="001A2060" w:rsidRDefault="001A2060" w:rsidP="00AB3FE3">
      <w:pPr>
        <w:rPr>
          <w:rFonts w:ascii="Times New Roman" w:eastAsia="Times New Roman" w:hAnsi="Times New Roman" w:cs="Times New Roman"/>
        </w:rPr>
      </w:pPr>
    </w:p>
    <w:p w14:paraId="35554174" w14:textId="22BCCF3E" w:rsidR="00402382" w:rsidRDefault="00402382">
      <w:r>
        <w:br w:type="page"/>
      </w:r>
    </w:p>
    <w:p w14:paraId="7BA9DA8A" w14:textId="58DDF059" w:rsidR="00522509" w:rsidRDefault="00522509" w:rsidP="00522509">
      <w:r w:rsidRPr="00DA0A61">
        <w:rPr>
          <w:b/>
          <w:bCs/>
        </w:rPr>
        <w:lastRenderedPageBreak/>
        <w:t>Figure S</w:t>
      </w:r>
      <w:r w:rsidR="00821343">
        <w:rPr>
          <w:b/>
          <w:bCs/>
        </w:rPr>
        <w:t>3</w:t>
      </w:r>
      <w:r>
        <w:t xml:space="preserve">: </w:t>
      </w:r>
      <w:r w:rsidR="000E5BF6">
        <w:t>Visual depiction of l</w:t>
      </w:r>
      <w:r>
        <w:t>evels of high sensitivity troponin T (</w:t>
      </w:r>
      <w:proofErr w:type="spellStart"/>
      <w:r>
        <w:t>hsTropT</w:t>
      </w:r>
      <w:proofErr w:type="spellEnd"/>
      <w:r>
        <w:t>) and N-terminal pro-B natriuretic peptide (</w:t>
      </w:r>
      <w:proofErr w:type="spellStart"/>
      <w:r>
        <w:t>NTproBNP</w:t>
      </w:r>
      <w:proofErr w:type="spellEnd"/>
      <w:r>
        <w:t xml:space="preserve">) among 40 patients who underwent chimeric antigen receptor (CAR) T cell therapy. </w:t>
      </w:r>
      <w:r w:rsidR="003624E8">
        <w:t xml:space="preserve">Swimmer plots depict the progression of the laboratory </w:t>
      </w:r>
      <w:r w:rsidR="0088510D">
        <w:t>values of individual patients</w:t>
      </w:r>
      <w:r w:rsidR="00136E11">
        <w:t xml:space="preserve"> in solid circles with connecting lines</w:t>
      </w:r>
      <w:r>
        <w:t xml:space="preserve">. (A and B) Levels of </w:t>
      </w:r>
      <w:proofErr w:type="spellStart"/>
      <w:r>
        <w:t>hsTropT</w:t>
      </w:r>
      <w:proofErr w:type="spellEnd"/>
      <w:r>
        <w:t xml:space="preserve"> and </w:t>
      </w:r>
      <w:proofErr w:type="spellStart"/>
      <w:r>
        <w:t>NTproBNP</w:t>
      </w:r>
      <w:proofErr w:type="spellEnd"/>
      <w:r>
        <w:t xml:space="preserve"> at baseline, day 1, day 7, and day 21. (C and D) Levels of </w:t>
      </w:r>
      <w:proofErr w:type="spellStart"/>
      <w:r>
        <w:t>hsTropT</w:t>
      </w:r>
      <w:proofErr w:type="spellEnd"/>
      <w:r>
        <w:t xml:space="preserve"> and </w:t>
      </w:r>
      <w:proofErr w:type="spellStart"/>
      <w:r>
        <w:t>NTproBNP</w:t>
      </w:r>
      <w:proofErr w:type="spellEnd"/>
      <w:r>
        <w:t xml:space="preserve"> stratified by whether patients experienced grade 2 cytokine release syndrome (n=17/40; teal colored) or not (n=23/40; salmon colored) (E) Levels of </w:t>
      </w:r>
      <w:proofErr w:type="spellStart"/>
      <w:r>
        <w:t>hsTropT</w:t>
      </w:r>
      <w:proofErr w:type="spellEnd"/>
      <w:r>
        <w:t xml:space="preserve"> stratified by whether it was abnormal (&gt;14 ng/L) at baseline (n=17/40; teal-colored) or not (n=23/40; salmon-colored). (F) Levels of </w:t>
      </w:r>
      <w:proofErr w:type="spellStart"/>
      <w:r>
        <w:t>NTproBNP</w:t>
      </w:r>
      <w:proofErr w:type="spellEnd"/>
      <w:r>
        <w:t xml:space="preserve"> stratified by whether it was abnormal (&gt;125 </w:t>
      </w:r>
      <w:proofErr w:type="spellStart"/>
      <w:r>
        <w:t>pg</w:t>
      </w:r>
      <w:proofErr w:type="spellEnd"/>
      <w:r>
        <w:t xml:space="preserve">/mL) at baseline (n=26/40; teal-colored) or not (n=14/40; salmon-colored). </w:t>
      </w:r>
    </w:p>
    <w:p w14:paraId="7EB2AB12" w14:textId="6BDA1BAB" w:rsidR="006660CF" w:rsidRPr="006660CF" w:rsidRDefault="006660CF" w:rsidP="006660CF">
      <w:pPr>
        <w:rPr>
          <w:rFonts w:ascii="Times New Roman" w:eastAsia="Times New Roman" w:hAnsi="Times New Roman" w:cs="Times New Roman"/>
        </w:rPr>
      </w:pPr>
      <w:r w:rsidRPr="006660CF">
        <w:rPr>
          <w:noProof/>
        </w:rPr>
        <w:lastRenderedPageBreak/>
        <w:drawing>
          <wp:inline distT="0" distB="0" distL="0" distR="0" wp14:anchorId="3B567426" wp14:editId="0DF42FCA">
            <wp:extent cx="5943600" cy="7727315"/>
            <wp:effectExtent l="0" t="0" r="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4C4D9" w14:textId="0C4480EC" w:rsidR="00B95DCA" w:rsidRDefault="00B95DCA">
      <w:r>
        <w:br w:type="page"/>
      </w:r>
    </w:p>
    <w:p w14:paraId="2990F1BC" w14:textId="3B9D54F1" w:rsidR="00BD4BB3" w:rsidRPr="00BD4BB3" w:rsidRDefault="00BD4BB3" w:rsidP="009E231A">
      <w:r>
        <w:rPr>
          <w:b/>
          <w:bCs/>
        </w:rPr>
        <w:lastRenderedPageBreak/>
        <w:t>Figure S4</w:t>
      </w:r>
      <w:r>
        <w:t xml:space="preserve">: </w:t>
      </w:r>
      <w:r w:rsidR="00C50A87">
        <w:t>Visual depiction of levels of high sensitivity troponin T (</w:t>
      </w:r>
      <w:proofErr w:type="spellStart"/>
      <w:r w:rsidR="00C50A87">
        <w:t>hsTropT</w:t>
      </w:r>
      <w:proofErr w:type="spellEnd"/>
      <w:r w:rsidR="00C50A87">
        <w:t>; left pane) and N-terminal pro-B natriuretic peptide (</w:t>
      </w:r>
      <w:proofErr w:type="spellStart"/>
      <w:r w:rsidR="00C50A87">
        <w:t>NTproBNP</w:t>
      </w:r>
      <w:proofErr w:type="spellEnd"/>
      <w:r w:rsidR="00C50A87">
        <w:t xml:space="preserve">; right pane) among 40 patients who underwent chimeric antigen receptor (CAR) T cell therapy, at baseline, day 1, day 7, and day 21, stratified by whether patients </w:t>
      </w:r>
      <w:r w:rsidR="000B0150">
        <w:t>had baseline cardiac comorbidities</w:t>
      </w:r>
      <w:r w:rsidR="00C50A87">
        <w:t xml:space="preserve"> (n=</w:t>
      </w:r>
      <w:r w:rsidR="000B0150">
        <w:t>23</w:t>
      </w:r>
      <w:r w:rsidR="00C50A87">
        <w:t>/40; teal colored) or not (n=</w:t>
      </w:r>
      <w:r w:rsidR="000B0150">
        <w:t>17</w:t>
      </w:r>
      <w:r w:rsidR="00C50A87">
        <w:t>/40; salmon colored). Boxplots depict the 25</w:t>
      </w:r>
      <w:r w:rsidR="00C50A87" w:rsidRPr="00D84FA4">
        <w:rPr>
          <w:vertAlign w:val="superscript"/>
        </w:rPr>
        <w:t>th</w:t>
      </w:r>
      <w:r w:rsidR="00C50A87">
        <w:t>, 50</w:t>
      </w:r>
      <w:r w:rsidR="00C50A87" w:rsidRPr="00D84FA4">
        <w:rPr>
          <w:vertAlign w:val="superscript"/>
        </w:rPr>
        <w:t>th</w:t>
      </w:r>
      <w:r w:rsidR="00C50A87">
        <w:t>, and 75</w:t>
      </w:r>
      <w:r w:rsidR="00C50A87" w:rsidRPr="00D84FA4">
        <w:rPr>
          <w:vertAlign w:val="superscript"/>
        </w:rPr>
        <w:t>th</w:t>
      </w:r>
      <w:r w:rsidR="00C50A87">
        <w:t xml:space="preserve"> percentile of each distribution with horizontal lines, whiskers extend 1.5 times the interquartile range above the third quartile and below the 1</w:t>
      </w:r>
      <w:r w:rsidR="00C50A87" w:rsidRPr="00EE335D">
        <w:rPr>
          <w:vertAlign w:val="superscript"/>
        </w:rPr>
        <w:t>st</w:t>
      </w:r>
      <w:r w:rsidR="00C50A87">
        <w:t xml:space="preserve"> quartile, and solid dots depict outliers. </w:t>
      </w:r>
      <w:r w:rsidR="00100938" w:rsidRPr="009F5FE9">
        <w:t xml:space="preserve">There was no interaction between the presence of cardiac comorbidities and </w:t>
      </w:r>
      <w:proofErr w:type="spellStart"/>
      <w:r w:rsidR="00C50A87" w:rsidRPr="009F5FE9">
        <w:t>hsTropT</w:t>
      </w:r>
      <w:proofErr w:type="spellEnd"/>
      <w:r w:rsidR="00C50A87" w:rsidRPr="009F5FE9">
        <w:t xml:space="preserve"> (F</w:t>
      </w:r>
      <w:r w:rsidR="00C50A87" w:rsidRPr="009F5FE9">
        <w:rPr>
          <w:vertAlign w:val="subscript"/>
        </w:rPr>
        <w:t>(3,93)</w:t>
      </w:r>
      <w:r w:rsidR="00C50A87" w:rsidRPr="009F5FE9">
        <w:t>=</w:t>
      </w:r>
      <w:r w:rsidR="00125FAC" w:rsidRPr="009F5FE9">
        <w:t>0.91</w:t>
      </w:r>
      <w:r w:rsidR="00C50A87" w:rsidRPr="009F5FE9">
        <w:t>, p=0.</w:t>
      </w:r>
      <w:r w:rsidR="00125FAC" w:rsidRPr="009F5FE9">
        <w:t>44</w:t>
      </w:r>
      <w:r w:rsidR="00C50A87" w:rsidRPr="009F5FE9">
        <w:t xml:space="preserve">). There was no interaction between the presence of </w:t>
      </w:r>
      <w:r w:rsidR="00125FAC" w:rsidRPr="009F5FE9">
        <w:t>cardiac comorbidities</w:t>
      </w:r>
      <w:r w:rsidR="00C50A87" w:rsidRPr="009F5FE9">
        <w:t xml:space="preserve"> and </w:t>
      </w:r>
      <w:proofErr w:type="spellStart"/>
      <w:r w:rsidR="00C50A87" w:rsidRPr="009F5FE9">
        <w:t>NTproBNP</w:t>
      </w:r>
      <w:proofErr w:type="spellEnd"/>
      <w:r w:rsidR="00C50A87" w:rsidRPr="009F5FE9">
        <w:t xml:space="preserve"> (F</w:t>
      </w:r>
      <w:r w:rsidR="00C50A87" w:rsidRPr="009F5FE9">
        <w:rPr>
          <w:vertAlign w:val="subscript"/>
        </w:rPr>
        <w:t>(3,93)</w:t>
      </w:r>
      <w:r w:rsidR="00C50A87" w:rsidRPr="009F5FE9">
        <w:t>=</w:t>
      </w:r>
      <w:r w:rsidR="00125FAC" w:rsidRPr="009F5FE9">
        <w:t>0.98</w:t>
      </w:r>
      <w:r w:rsidR="00C50A87" w:rsidRPr="009F5FE9">
        <w:t>, p=0.</w:t>
      </w:r>
      <w:r w:rsidR="00125FAC" w:rsidRPr="009F5FE9">
        <w:t>41</w:t>
      </w:r>
      <w:r w:rsidR="00C50A87" w:rsidRPr="009F5FE9">
        <w:t>).</w:t>
      </w:r>
    </w:p>
    <w:p w14:paraId="00B4B8A1" w14:textId="415AFA6D" w:rsidR="00BD4BB3" w:rsidRDefault="00C50A87" w:rsidP="009E231A">
      <w:pPr>
        <w:rPr>
          <w:b/>
          <w:bCs/>
        </w:rPr>
      </w:pPr>
      <w:r w:rsidRPr="00C50A87">
        <w:rPr>
          <w:b/>
          <w:bCs/>
          <w:noProof/>
        </w:rPr>
        <w:drawing>
          <wp:inline distT="0" distB="0" distL="0" distR="0" wp14:anchorId="5A460B40" wp14:editId="485DC079">
            <wp:extent cx="5943600" cy="2578100"/>
            <wp:effectExtent l="0" t="0" r="0" b="0"/>
            <wp:docPr id="9" name="Picture 9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box and whisker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2C7E4" w14:textId="77777777" w:rsidR="00BD4BB3" w:rsidRDefault="00BD4BB3">
      <w:pPr>
        <w:rPr>
          <w:b/>
          <w:bCs/>
        </w:rPr>
      </w:pPr>
      <w:r>
        <w:rPr>
          <w:b/>
          <w:bCs/>
        </w:rPr>
        <w:br w:type="page"/>
      </w:r>
    </w:p>
    <w:p w14:paraId="3B12A18C" w14:textId="173EEAEC" w:rsidR="006660CF" w:rsidRDefault="00B95DCA" w:rsidP="009E231A">
      <w:r w:rsidRPr="00F35DDC">
        <w:rPr>
          <w:b/>
          <w:bCs/>
        </w:rPr>
        <w:lastRenderedPageBreak/>
        <w:t>Figure S</w:t>
      </w:r>
      <w:r w:rsidR="006E1CFD">
        <w:rPr>
          <w:b/>
          <w:bCs/>
        </w:rPr>
        <w:t>5</w:t>
      </w:r>
      <w:r>
        <w:t xml:space="preserve">: </w:t>
      </w:r>
      <w:r w:rsidR="009F1C5C">
        <w:t>Visual depiction of l</w:t>
      </w:r>
      <w:r>
        <w:t>evels of high sensitivity troponin T (</w:t>
      </w:r>
      <w:proofErr w:type="spellStart"/>
      <w:r>
        <w:t>hsTropT</w:t>
      </w:r>
      <w:proofErr w:type="spellEnd"/>
      <w:r w:rsidR="00DF303D">
        <w:t>; left pane</w:t>
      </w:r>
      <w:r>
        <w:t>) and N-terminal pro-B natriuretic peptide (</w:t>
      </w:r>
      <w:proofErr w:type="spellStart"/>
      <w:r>
        <w:t>NTproBNP</w:t>
      </w:r>
      <w:proofErr w:type="spellEnd"/>
      <w:r w:rsidR="00DF303D">
        <w:t>; right pane</w:t>
      </w:r>
      <w:r>
        <w:t>) among 40 patients who underwent chimeric antigen receptor (CAR) T cell therapy, at baseline, day 1, day 7, and day 21</w:t>
      </w:r>
      <w:r w:rsidR="004E0207">
        <w:t xml:space="preserve">, stratified by whether patients experienced </w:t>
      </w:r>
      <w:r w:rsidR="00DF303D">
        <w:t>i</w:t>
      </w:r>
      <w:r w:rsidR="00DF303D" w:rsidRPr="001567C8">
        <w:t>mmune effector cell-associated neurotoxicity syndrome</w:t>
      </w:r>
      <w:r w:rsidR="00DF303D">
        <w:t xml:space="preserve"> (ICANS) </w:t>
      </w:r>
      <w:r w:rsidR="004E0207">
        <w:t>(n=1</w:t>
      </w:r>
      <w:r w:rsidR="00500938">
        <w:t>9</w:t>
      </w:r>
      <w:r w:rsidR="004E0207">
        <w:t>/40; teal colored) or not (n=2</w:t>
      </w:r>
      <w:r w:rsidR="00500938">
        <w:t>1</w:t>
      </w:r>
      <w:r w:rsidR="004E0207">
        <w:t>/40; salmon colored)</w:t>
      </w:r>
      <w:r>
        <w:t>. Boxplots depict the 25</w:t>
      </w:r>
      <w:r w:rsidRPr="00D84FA4">
        <w:rPr>
          <w:vertAlign w:val="superscript"/>
        </w:rPr>
        <w:t>th</w:t>
      </w:r>
      <w:r>
        <w:t>, 50</w:t>
      </w:r>
      <w:r w:rsidRPr="00D84FA4">
        <w:rPr>
          <w:vertAlign w:val="superscript"/>
        </w:rPr>
        <w:t>th</w:t>
      </w:r>
      <w:r>
        <w:t>, and 75</w:t>
      </w:r>
      <w:r w:rsidRPr="00D84FA4">
        <w:rPr>
          <w:vertAlign w:val="superscript"/>
        </w:rPr>
        <w:t>th</w:t>
      </w:r>
      <w:r>
        <w:t xml:space="preserve"> percentile of each distribution with horizontal lines, whiskers extend 1.5 times the interquartile range above the third quartile and below the 1</w:t>
      </w:r>
      <w:r w:rsidRPr="00EE335D">
        <w:rPr>
          <w:vertAlign w:val="superscript"/>
        </w:rPr>
        <w:t>st</w:t>
      </w:r>
      <w:r>
        <w:t xml:space="preserve"> quartile, and solid dots depict outliers. </w:t>
      </w:r>
      <w:r w:rsidR="005877E7" w:rsidRPr="005877E7">
        <w:t xml:space="preserve">There was a significant interaction between presence of ICANS and timepoint in the levels of </w:t>
      </w:r>
      <w:proofErr w:type="spellStart"/>
      <w:r w:rsidR="005877E7" w:rsidRPr="005877E7">
        <w:t>hsTropT</w:t>
      </w:r>
      <w:proofErr w:type="spellEnd"/>
      <w:r w:rsidR="005877E7" w:rsidRPr="005877E7">
        <w:t xml:space="preserve"> (F</w:t>
      </w:r>
      <w:r w:rsidR="005877E7" w:rsidRPr="005877E7">
        <w:rPr>
          <w:vertAlign w:val="subscript"/>
        </w:rPr>
        <w:t>(3,93)</w:t>
      </w:r>
      <w:r w:rsidR="005877E7" w:rsidRPr="005877E7">
        <w:t xml:space="preserve">=3.40, p=0.02). This is a result of </w:t>
      </w:r>
      <w:proofErr w:type="spellStart"/>
      <w:r w:rsidR="005877E7" w:rsidRPr="005877E7">
        <w:t>hsTropT</w:t>
      </w:r>
      <w:proofErr w:type="spellEnd"/>
      <w:r w:rsidR="005877E7" w:rsidRPr="005877E7">
        <w:t xml:space="preserve"> levels being higher in patients who developed ICANS compared to patients who did not develop ICANS, at </w:t>
      </w:r>
      <w:proofErr w:type="spellStart"/>
      <w:r w:rsidR="005877E7" w:rsidRPr="005877E7">
        <w:t>all time</w:t>
      </w:r>
      <w:proofErr w:type="spellEnd"/>
      <w:r w:rsidR="005877E7" w:rsidRPr="005877E7">
        <w:t xml:space="preserve"> points, but to a lesser degree at the day 7 timepoint. There was no interaction between the presence of ICANS and </w:t>
      </w:r>
      <w:proofErr w:type="spellStart"/>
      <w:r w:rsidR="005877E7" w:rsidRPr="005877E7">
        <w:t>NTproBNP</w:t>
      </w:r>
      <w:proofErr w:type="spellEnd"/>
      <w:r w:rsidR="005877E7" w:rsidRPr="005877E7">
        <w:t xml:space="preserve"> (F</w:t>
      </w:r>
      <w:r w:rsidR="005877E7" w:rsidRPr="005877E7">
        <w:rPr>
          <w:vertAlign w:val="subscript"/>
        </w:rPr>
        <w:t>(3,93)</w:t>
      </w:r>
      <w:r w:rsidR="005877E7" w:rsidRPr="005877E7">
        <w:t>=2.29, p=0.08).</w:t>
      </w:r>
    </w:p>
    <w:p w14:paraId="5B284262" w14:textId="328788C3" w:rsidR="00B95DCA" w:rsidRDefault="00B95DCA" w:rsidP="009E231A"/>
    <w:p w14:paraId="14966E8B" w14:textId="549661E3" w:rsidR="00B95DCA" w:rsidRPr="009E231A" w:rsidRDefault="00B95DCA" w:rsidP="009E231A">
      <w:r w:rsidRPr="008A5762">
        <w:rPr>
          <w:noProof/>
        </w:rPr>
        <w:drawing>
          <wp:inline distT="0" distB="0" distL="0" distR="0" wp14:anchorId="7379AA15" wp14:editId="093515EA">
            <wp:extent cx="2964263" cy="3557116"/>
            <wp:effectExtent l="0" t="0" r="0" b="0"/>
            <wp:docPr id="6" name="Picture 6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box and whisker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0361" cy="357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762">
        <w:rPr>
          <w:noProof/>
        </w:rPr>
        <w:drawing>
          <wp:inline distT="0" distB="0" distL="0" distR="0" wp14:anchorId="28361DEE" wp14:editId="49C41F53">
            <wp:extent cx="2954215" cy="3545058"/>
            <wp:effectExtent l="0" t="0" r="5080" b="0"/>
            <wp:docPr id="7" name="Picture 7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box and whisker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2017" cy="355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5DCA" w:rsidRPr="009E231A" w:rsidSect="00B6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3D4"/>
    <w:multiLevelType w:val="hybridMultilevel"/>
    <w:tmpl w:val="8918CFC6"/>
    <w:lvl w:ilvl="0" w:tplc="3920CF92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C4F81"/>
    <w:multiLevelType w:val="hybridMultilevel"/>
    <w:tmpl w:val="7DCEC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147DB"/>
    <w:multiLevelType w:val="multilevel"/>
    <w:tmpl w:val="B860D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C0F50"/>
    <w:multiLevelType w:val="hybridMultilevel"/>
    <w:tmpl w:val="46DCE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82"/>
    <w:rsid w:val="0000357E"/>
    <w:rsid w:val="00011079"/>
    <w:rsid w:val="00011C8B"/>
    <w:rsid w:val="00014A32"/>
    <w:rsid w:val="000175C3"/>
    <w:rsid w:val="00023687"/>
    <w:rsid w:val="000415EF"/>
    <w:rsid w:val="000453A6"/>
    <w:rsid w:val="00052AA2"/>
    <w:rsid w:val="0005402C"/>
    <w:rsid w:val="0005545E"/>
    <w:rsid w:val="00061560"/>
    <w:rsid w:val="00063A1B"/>
    <w:rsid w:val="0007608B"/>
    <w:rsid w:val="00076C1B"/>
    <w:rsid w:val="00080BDC"/>
    <w:rsid w:val="00094E0A"/>
    <w:rsid w:val="000A1A88"/>
    <w:rsid w:val="000A31F9"/>
    <w:rsid w:val="000A3299"/>
    <w:rsid w:val="000A42D8"/>
    <w:rsid w:val="000A6C25"/>
    <w:rsid w:val="000B0150"/>
    <w:rsid w:val="000B0A87"/>
    <w:rsid w:val="000B2F11"/>
    <w:rsid w:val="000B73FC"/>
    <w:rsid w:val="000B7EFD"/>
    <w:rsid w:val="000C785B"/>
    <w:rsid w:val="000C799E"/>
    <w:rsid w:val="000C7F0D"/>
    <w:rsid w:val="000D2A82"/>
    <w:rsid w:val="000E00AA"/>
    <w:rsid w:val="000E5BF6"/>
    <w:rsid w:val="000F0E0A"/>
    <w:rsid w:val="000F34FD"/>
    <w:rsid w:val="000F4002"/>
    <w:rsid w:val="000F6699"/>
    <w:rsid w:val="000F7A6F"/>
    <w:rsid w:val="00100504"/>
    <w:rsid w:val="00100938"/>
    <w:rsid w:val="00100F35"/>
    <w:rsid w:val="00103FC5"/>
    <w:rsid w:val="00104040"/>
    <w:rsid w:val="00105048"/>
    <w:rsid w:val="0010586E"/>
    <w:rsid w:val="0010621C"/>
    <w:rsid w:val="001102B1"/>
    <w:rsid w:val="00123E1B"/>
    <w:rsid w:val="00125DA9"/>
    <w:rsid w:val="00125FAC"/>
    <w:rsid w:val="00126888"/>
    <w:rsid w:val="00135447"/>
    <w:rsid w:val="00135781"/>
    <w:rsid w:val="001369C7"/>
    <w:rsid w:val="00136E11"/>
    <w:rsid w:val="001404F1"/>
    <w:rsid w:val="0014518F"/>
    <w:rsid w:val="00145D81"/>
    <w:rsid w:val="001463B6"/>
    <w:rsid w:val="001502AE"/>
    <w:rsid w:val="00151880"/>
    <w:rsid w:val="00155E39"/>
    <w:rsid w:val="00166414"/>
    <w:rsid w:val="00166FF6"/>
    <w:rsid w:val="001740CC"/>
    <w:rsid w:val="001812D9"/>
    <w:rsid w:val="00191B7E"/>
    <w:rsid w:val="00192DDA"/>
    <w:rsid w:val="001933BC"/>
    <w:rsid w:val="0019588A"/>
    <w:rsid w:val="001A2060"/>
    <w:rsid w:val="001B1D14"/>
    <w:rsid w:val="001B5F8A"/>
    <w:rsid w:val="001B604C"/>
    <w:rsid w:val="001C4CEA"/>
    <w:rsid w:val="001E7CEC"/>
    <w:rsid w:val="00201960"/>
    <w:rsid w:val="00210D11"/>
    <w:rsid w:val="00213BE2"/>
    <w:rsid w:val="002147F0"/>
    <w:rsid w:val="0023423F"/>
    <w:rsid w:val="002366F1"/>
    <w:rsid w:val="00247D27"/>
    <w:rsid w:val="00255566"/>
    <w:rsid w:val="002575FB"/>
    <w:rsid w:val="00260B59"/>
    <w:rsid w:val="0026281A"/>
    <w:rsid w:val="00264FE9"/>
    <w:rsid w:val="00266841"/>
    <w:rsid w:val="00272CAC"/>
    <w:rsid w:val="002829E3"/>
    <w:rsid w:val="00287FB3"/>
    <w:rsid w:val="002A0D79"/>
    <w:rsid w:val="002A4178"/>
    <w:rsid w:val="002A4C26"/>
    <w:rsid w:val="002A638C"/>
    <w:rsid w:val="002B63AC"/>
    <w:rsid w:val="002C21AD"/>
    <w:rsid w:val="002C2F67"/>
    <w:rsid w:val="002C6DEF"/>
    <w:rsid w:val="002D1787"/>
    <w:rsid w:val="002D18FA"/>
    <w:rsid w:val="002D58FD"/>
    <w:rsid w:val="002D75E8"/>
    <w:rsid w:val="002E3EA0"/>
    <w:rsid w:val="002F22A4"/>
    <w:rsid w:val="002F2DFB"/>
    <w:rsid w:val="002F3408"/>
    <w:rsid w:val="00300C39"/>
    <w:rsid w:val="003034C9"/>
    <w:rsid w:val="0030536C"/>
    <w:rsid w:val="00313E76"/>
    <w:rsid w:val="00316BDE"/>
    <w:rsid w:val="00321A42"/>
    <w:rsid w:val="0032624D"/>
    <w:rsid w:val="00327C48"/>
    <w:rsid w:val="00327ECB"/>
    <w:rsid w:val="003334FE"/>
    <w:rsid w:val="0033400B"/>
    <w:rsid w:val="00335E57"/>
    <w:rsid w:val="00342080"/>
    <w:rsid w:val="003474CE"/>
    <w:rsid w:val="00350918"/>
    <w:rsid w:val="003551B4"/>
    <w:rsid w:val="00361AEF"/>
    <w:rsid w:val="003624E8"/>
    <w:rsid w:val="003627C5"/>
    <w:rsid w:val="0036788C"/>
    <w:rsid w:val="00372CBD"/>
    <w:rsid w:val="003735A1"/>
    <w:rsid w:val="003739FC"/>
    <w:rsid w:val="00374939"/>
    <w:rsid w:val="003769AC"/>
    <w:rsid w:val="00380C44"/>
    <w:rsid w:val="00380F3E"/>
    <w:rsid w:val="003813F1"/>
    <w:rsid w:val="00384948"/>
    <w:rsid w:val="00395394"/>
    <w:rsid w:val="003A54D0"/>
    <w:rsid w:val="003A56C6"/>
    <w:rsid w:val="003A6AFD"/>
    <w:rsid w:val="003A6FD9"/>
    <w:rsid w:val="003B3A6E"/>
    <w:rsid w:val="003B6667"/>
    <w:rsid w:val="003B79FE"/>
    <w:rsid w:val="003D0979"/>
    <w:rsid w:val="003D1F9E"/>
    <w:rsid w:val="003D5FD4"/>
    <w:rsid w:val="003D654F"/>
    <w:rsid w:val="003E1376"/>
    <w:rsid w:val="003E78FF"/>
    <w:rsid w:val="003F2F1A"/>
    <w:rsid w:val="003F43D1"/>
    <w:rsid w:val="00400499"/>
    <w:rsid w:val="00402382"/>
    <w:rsid w:val="00404F89"/>
    <w:rsid w:val="00405383"/>
    <w:rsid w:val="00405541"/>
    <w:rsid w:val="00415840"/>
    <w:rsid w:val="00416279"/>
    <w:rsid w:val="00420099"/>
    <w:rsid w:val="004257F1"/>
    <w:rsid w:val="00426673"/>
    <w:rsid w:val="00433EDC"/>
    <w:rsid w:val="00436170"/>
    <w:rsid w:val="004370B1"/>
    <w:rsid w:val="004372B8"/>
    <w:rsid w:val="00437E83"/>
    <w:rsid w:val="004408AB"/>
    <w:rsid w:val="00443D47"/>
    <w:rsid w:val="00445BE0"/>
    <w:rsid w:val="00445BEB"/>
    <w:rsid w:val="00445E60"/>
    <w:rsid w:val="0044654A"/>
    <w:rsid w:val="00446C03"/>
    <w:rsid w:val="00447D03"/>
    <w:rsid w:val="0045252A"/>
    <w:rsid w:val="00460E77"/>
    <w:rsid w:val="00461426"/>
    <w:rsid w:val="004654BC"/>
    <w:rsid w:val="004675B8"/>
    <w:rsid w:val="0047040B"/>
    <w:rsid w:val="00471720"/>
    <w:rsid w:val="00473794"/>
    <w:rsid w:val="00474021"/>
    <w:rsid w:val="004753FF"/>
    <w:rsid w:val="00480D34"/>
    <w:rsid w:val="00480F0D"/>
    <w:rsid w:val="00486B68"/>
    <w:rsid w:val="00486C49"/>
    <w:rsid w:val="00493FB8"/>
    <w:rsid w:val="004A15D1"/>
    <w:rsid w:val="004A384A"/>
    <w:rsid w:val="004B07AF"/>
    <w:rsid w:val="004B67E4"/>
    <w:rsid w:val="004C1122"/>
    <w:rsid w:val="004C6DBF"/>
    <w:rsid w:val="004D0596"/>
    <w:rsid w:val="004E0207"/>
    <w:rsid w:val="004E0A2C"/>
    <w:rsid w:val="004E1E23"/>
    <w:rsid w:val="004E34E6"/>
    <w:rsid w:val="004F6EC2"/>
    <w:rsid w:val="004F7258"/>
    <w:rsid w:val="00500938"/>
    <w:rsid w:val="00501B9E"/>
    <w:rsid w:val="0050286B"/>
    <w:rsid w:val="0050286D"/>
    <w:rsid w:val="00510D6A"/>
    <w:rsid w:val="00510FBE"/>
    <w:rsid w:val="005139BA"/>
    <w:rsid w:val="005224C8"/>
    <w:rsid w:val="00522509"/>
    <w:rsid w:val="00523F9D"/>
    <w:rsid w:val="005315C8"/>
    <w:rsid w:val="00535FF0"/>
    <w:rsid w:val="005360D8"/>
    <w:rsid w:val="005400F3"/>
    <w:rsid w:val="00553540"/>
    <w:rsid w:val="005545F9"/>
    <w:rsid w:val="00555320"/>
    <w:rsid w:val="005565B5"/>
    <w:rsid w:val="005648B7"/>
    <w:rsid w:val="00571B85"/>
    <w:rsid w:val="005877E7"/>
    <w:rsid w:val="00597672"/>
    <w:rsid w:val="005A1892"/>
    <w:rsid w:val="005A1B35"/>
    <w:rsid w:val="005B59BD"/>
    <w:rsid w:val="005B5E51"/>
    <w:rsid w:val="005B6377"/>
    <w:rsid w:val="005D3B13"/>
    <w:rsid w:val="005E3AC5"/>
    <w:rsid w:val="005E453C"/>
    <w:rsid w:val="005F09BB"/>
    <w:rsid w:val="005F6764"/>
    <w:rsid w:val="006009C0"/>
    <w:rsid w:val="00604266"/>
    <w:rsid w:val="006079E1"/>
    <w:rsid w:val="0061282E"/>
    <w:rsid w:val="0062221B"/>
    <w:rsid w:val="006223A3"/>
    <w:rsid w:val="006223FC"/>
    <w:rsid w:val="006258E3"/>
    <w:rsid w:val="00627CCD"/>
    <w:rsid w:val="0063183B"/>
    <w:rsid w:val="006345A5"/>
    <w:rsid w:val="00640540"/>
    <w:rsid w:val="00640A85"/>
    <w:rsid w:val="006459D4"/>
    <w:rsid w:val="006606BA"/>
    <w:rsid w:val="00661047"/>
    <w:rsid w:val="006610BA"/>
    <w:rsid w:val="006660CF"/>
    <w:rsid w:val="00666BA5"/>
    <w:rsid w:val="00670BA3"/>
    <w:rsid w:val="00670DA6"/>
    <w:rsid w:val="00687A2D"/>
    <w:rsid w:val="00692946"/>
    <w:rsid w:val="006A1E2C"/>
    <w:rsid w:val="006A3675"/>
    <w:rsid w:val="006B6B1E"/>
    <w:rsid w:val="006C0ADF"/>
    <w:rsid w:val="006C0BC5"/>
    <w:rsid w:val="006C2AB4"/>
    <w:rsid w:val="006C3210"/>
    <w:rsid w:val="006C65E7"/>
    <w:rsid w:val="006D0C12"/>
    <w:rsid w:val="006D1C57"/>
    <w:rsid w:val="006D5702"/>
    <w:rsid w:val="006E1CFD"/>
    <w:rsid w:val="006E472A"/>
    <w:rsid w:val="006E4EA4"/>
    <w:rsid w:val="006F01DE"/>
    <w:rsid w:val="006F2B1D"/>
    <w:rsid w:val="006F626C"/>
    <w:rsid w:val="007018DF"/>
    <w:rsid w:val="007055BD"/>
    <w:rsid w:val="00707E62"/>
    <w:rsid w:val="007110B9"/>
    <w:rsid w:val="00713294"/>
    <w:rsid w:val="007235B0"/>
    <w:rsid w:val="00723A1C"/>
    <w:rsid w:val="007302F1"/>
    <w:rsid w:val="00730F4C"/>
    <w:rsid w:val="00732EA6"/>
    <w:rsid w:val="007333C0"/>
    <w:rsid w:val="007348A1"/>
    <w:rsid w:val="0073793D"/>
    <w:rsid w:val="00737D55"/>
    <w:rsid w:val="007404D4"/>
    <w:rsid w:val="00742C56"/>
    <w:rsid w:val="00752A7A"/>
    <w:rsid w:val="007564CF"/>
    <w:rsid w:val="00770964"/>
    <w:rsid w:val="007714AF"/>
    <w:rsid w:val="0078381A"/>
    <w:rsid w:val="007843A9"/>
    <w:rsid w:val="00797049"/>
    <w:rsid w:val="007A5CC4"/>
    <w:rsid w:val="007B130D"/>
    <w:rsid w:val="007B57E5"/>
    <w:rsid w:val="007B62E6"/>
    <w:rsid w:val="007D099E"/>
    <w:rsid w:val="007D652C"/>
    <w:rsid w:val="007E362B"/>
    <w:rsid w:val="007E6122"/>
    <w:rsid w:val="007E6848"/>
    <w:rsid w:val="007E7AD8"/>
    <w:rsid w:val="007F3F91"/>
    <w:rsid w:val="007F58B9"/>
    <w:rsid w:val="00803E95"/>
    <w:rsid w:val="00805A24"/>
    <w:rsid w:val="008115B0"/>
    <w:rsid w:val="008171D7"/>
    <w:rsid w:val="00820E07"/>
    <w:rsid w:val="00821343"/>
    <w:rsid w:val="0082557C"/>
    <w:rsid w:val="00832CF4"/>
    <w:rsid w:val="0083792E"/>
    <w:rsid w:val="00843099"/>
    <w:rsid w:val="008545AF"/>
    <w:rsid w:val="008606A0"/>
    <w:rsid w:val="00862042"/>
    <w:rsid w:val="00862FF3"/>
    <w:rsid w:val="00864048"/>
    <w:rsid w:val="00865775"/>
    <w:rsid w:val="00865B59"/>
    <w:rsid w:val="00867062"/>
    <w:rsid w:val="008670A2"/>
    <w:rsid w:val="00883449"/>
    <w:rsid w:val="0088510D"/>
    <w:rsid w:val="008925D8"/>
    <w:rsid w:val="00895429"/>
    <w:rsid w:val="008A034E"/>
    <w:rsid w:val="008A5AC8"/>
    <w:rsid w:val="008A6951"/>
    <w:rsid w:val="008A6DA8"/>
    <w:rsid w:val="008B0364"/>
    <w:rsid w:val="008B09A1"/>
    <w:rsid w:val="008B5532"/>
    <w:rsid w:val="008C215E"/>
    <w:rsid w:val="008C21F5"/>
    <w:rsid w:val="008C3053"/>
    <w:rsid w:val="008D1046"/>
    <w:rsid w:val="008D388D"/>
    <w:rsid w:val="008D58F6"/>
    <w:rsid w:val="008E69A9"/>
    <w:rsid w:val="008E6F30"/>
    <w:rsid w:val="008F000A"/>
    <w:rsid w:val="008F2EF2"/>
    <w:rsid w:val="008F2FFA"/>
    <w:rsid w:val="009025BD"/>
    <w:rsid w:val="00904FA0"/>
    <w:rsid w:val="00914C48"/>
    <w:rsid w:val="00934B1B"/>
    <w:rsid w:val="00936A47"/>
    <w:rsid w:val="0093748D"/>
    <w:rsid w:val="00942B18"/>
    <w:rsid w:val="009503C1"/>
    <w:rsid w:val="00956638"/>
    <w:rsid w:val="0096787F"/>
    <w:rsid w:val="00967FBC"/>
    <w:rsid w:val="00975B1A"/>
    <w:rsid w:val="00976449"/>
    <w:rsid w:val="00980895"/>
    <w:rsid w:val="00996DE1"/>
    <w:rsid w:val="009A0B35"/>
    <w:rsid w:val="009A0C75"/>
    <w:rsid w:val="009A2FF0"/>
    <w:rsid w:val="009A3406"/>
    <w:rsid w:val="009A5F22"/>
    <w:rsid w:val="009B5D5F"/>
    <w:rsid w:val="009B6F32"/>
    <w:rsid w:val="009B7257"/>
    <w:rsid w:val="009C15B3"/>
    <w:rsid w:val="009C1E06"/>
    <w:rsid w:val="009C2C96"/>
    <w:rsid w:val="009C57B8"/>
    <w:rsid w:val="009D0996"/>
    <w:rsid w:val="009D41C8"/>
    <w:rsid w:val="009E231A"/>
    <w:rsid w:val="009E3F2C"/>
    <w:rsid w:val="009F1C5C"/>
    <w:rsid w:val="009F5FE9"/>
    <w:rsid w:val="009F71B5"/>
    <w:rsid w:val="00A029FC"/>
    <w:rsid w:val="00A03D74"/>
    <w:rsid w:val="00A052D6"/>
    <w:rsid w:val="00A110D5"/>
    <w:rsid w:val="00A141D6"/>
    <w:rsid w:val="00A1478B"/>
    <w:rsid w:val="00A16287"/>
    <w:rsid w:val="00A16F4A"/>
    <w:rsid w:val="00A21F53"/>
    <w:rsid w:val="00A23B64"/>
    <w:rsid w:val="00A277EA"/>
    <w:rsid w:val="00A34C22"/>
    <w:rsid w:val="00A423AB"/>
    <w:rsid w:val="00A5154A"/>
    <w:rsid w:val="00A537B6"/>
    <w:rsid w:val="00A82B2A"/>
    <w:rsid w:val="00A854DD"/>
    <w:rsid w:val="00A94532"/>
    <w:rsid w:val="00AA1C17"/>
    <w:rsid w:val="00AA4643"/>
    <w:rsid w:val="00AA6ACB"/>
    <w:rsid w:val="00AB3FE3"/>
    <w:rsid w:val="00AB609D"/>
    <w:rsid w:val="00AB6A1D"/>
    <w:rsid w:val="00AB7A95"/>
    <w:rsid w:val="00AC3BAA"/>
    <w:rsid w:val="00AC4A0E"/>
    <w:rsid w:val="00AD04EF"/>
    <w:rsid w:val="00AD3458"/>
    <w:rsid w:val="00AE1CA0"/>
    <w:rsid w:val="00AE7B0F"/>
    <w:rsid w:val="00AE7EA5"/>
    <w:rsid w:val="00AF278C"/>
    <w:rsid w:val="00AF357D"/>
    <w:rsid w:val="00AF6872"/>
    <w:rsid w:val="00AF7480"/>
    <w:rsid w:val="00B00227"/>
    <w:rsid w:val="00B1007C"/>
    <w:rsid w:val="00B11E98"/>
    <w:rsid w:val="00B12FA1"/>
    <w:rsid w:val="00B13E27"/>
    <w:rsid w:val="00B14DDC"/>
    <w:rsid w:val="00B16FD9"/>
    <w:rsid w:val="00B212BB"/>
    <w:rsid w:val="00B22BF0"/>
    <w:rsid w:val="00B2561C"/>
    <w:rsid w:val="00B27FC3"/>
    <w:rsid w:val="00B302E8"/>
    <w:rsid w:val="00B34DC1"/>
    <w:rsid w:val="00B34FE8"/>
    <w:rsid w:val="00B37CCD"/>
    <w:rsid w:val="00B42781"/>
    <w:rsid w:val="00B4309B"/>
    <w:rsid w:val="00B522E3"/>
    <w:rsid w:val="00B53BC7"/>
    <w:rsid w:val="00B5724F"/>
    <w:rsid w:val="00B60D79"/>
    <w:rsid w:val="00B6146E"/>
    <w:rsid w:val="00B62224"/>
    <w:rsid w:val="00B63569"/>
    <w:rsid w:val="00B639CB"/>
    <w:rsid w:val="00B64211"/>
    <w:rsid w:val="00B64D40"/>
    <w:rsid w:val="00B66395"/>
    <w:rsid w:val="00B6728D"/>
    <w:rsid w:val="00B6775F"/>
    <w:rsid w:val="00B73475"/>
    <w:rsid w:val="00B80C31"/>
    <w:rsid w:val="00B94A78"/>
    <w:rsid w:val="00B95DCA"/>
    <w:rsid w:val="00BA4CEB"/>
    <w:rsid w:val="00BA6309"/>
    <w:rsid w:val="00BB3D7F"/>
    <w:rsid w:val="00BC4422"/>
    <w:rsid w:val="00BC44D9"/>
    <w:rsid w:val="00BC6014"/>
    <w:rsid w:val="00BD27BA"/>
    <w:rsid w:val="00BD4BB3"/>
    <w:rsid w:val="00BE686A"/>
    <w:rsid w:val="00BF58C1"/>
    <w:rsid w:val="00C02F87"/>
    <w:rsid w:val="00C04D5E"/>
    <w:rsid w:val="00C147FD"/>
    <w:rsid w:val="00C16C18"/>
    <w:rsid w:val="00C16FC0"/>
    <w:rsid w:val="00C23486"/>
    <w:rsid w:val="00C251B9"/>
    <w:rsid w:val="00C27A36"/>
    <w:rsid w:val="00C37987"/>
    <w:rsid w:val="00C41F9B"/>
    <w:rsid w:val="00C4335F"/>
    <w:rsid w:val="00C46F45"/>
    <w:rsid w:val="00C50A87"/>
    <w:rsid w:val="00C52F21"/>
    <w:rsid w:val="00C53495"/>
    <w:rsid w:val="00C548EA"/>
    <w:rsid w:val="00C75E6F"/>
    <w:rsid w:val="00C871CF"/>
    <w:rsid w:val="00C87550"/>
    <w:rsid w:val="00C9701E"/>
    <w:rsid w:val="00C97044"/>
    <w:rsid w:val="00CB5AFC"/>
    <w:rsid w:val="00CB667A"/>
    <w:rsid w:val="00CB7B87"/>
    <w:rsid w:val="00CC2984"/>
    <w:rsid w:val="00CC5147"/>
    <w:rsid w:val="00CD0975"/>
    <w:rsid w:val="00CD48B3"/>
    <w:rsid w:val="00CE245A"/>
    <w:rsid w:val="00CF0E4E"/>
    <w:rsid w:val="00CF46CF"/>
    <w:rsid w:val="00CF4A88"/>
    <w:rsid w:val="00CF7AA1"/>
    <w:rsid w:val="00D01B7F"/>
    <w:rsid w:val="00D149B8"/>
    <w:rsid w:val="00D165DE"/>
    <w:rsid w:val="00D41056"/>
    <w:rsid w:val="00D43863"/>
    <w:rsid w:val="00D44FCA"/>
    <w:rsid w:val="00D47E22"/>
    <w:rsid w:val="00D52D01"/>
    <w:rsid w:val="00D532EB"/>
    <w:rsid w:val="00D578B4"/>
    <w:rsid w:val="00D601E7"/>
    <w:rsid w:val="00D63B1D"/>
    <w:rsid w:val="00D64B79"/>
    <w:rsid w:val="00D65388"/>
    <w:rsid w:val="00D7211B"/>
    <w:rsid w:val="00D75C3B"/>
    <w:rsid w:val="00D771DB"/>
    <w:rsid w:val="00D77BA3"/>
    <w:rsid w:val="00D82876"/>
    <w:rsid w:val="00D838FA"/>
    <w:rsid w:val="00D83C5A"/>
    <w:rsid w:val="00D84FA4"/>
    <w:rsid w:val="00D8672E"/>
    <w:rsid w:val="00D86A64"/>
    <w:rsid w:val="00D86AFE"/>
    <w:rsid w:val="00D87133"/>
    <w:rsid w:val="00D87A6D"/>
    <w:rsid w:val="00D90EAE"/>
    <w:rsid w:val="00D94586"/>
    <w:rsid w:val="00D96B2A"/>
    <w:rsid w:val="00DA0A61"/>
    <w:rsid w:val="00DA173C"/>
    <w:rsid w:val="00DB0636"/>
    <w:rsid w:val="00DB29F6"/>
    <w:rsid w:val="00DB2C0F"/>
    <w:rsid w:val="00DB4315"/>
    <w:rsid w:val="00DB7247"/>
    <w:rsid w:val="00DC0416"/>
    <w:rsid w:val="00DC174F"/>
    <w:rsid w:val="00DC7F4A"/>
    <w:rsid w:val="00DD130C"/>
    <w:rsid w:val="00DD33BF"/>
    <w:rsid w:val="00DD7AE3"/>
    <w:rsid w:val="00DE5351"/>
    <w:rsid w:val="00DE535C"/>
    <w:rsid w:val="00DF2728"/>
    <w:rsid w:val="00DF2F5C"/>
    <w:rsid w:val="00DF303D"/>
    <w:rsid w:val="00E00401"/>
    <w:rsid w:val="00E02C11"/>
    <w:rsid w:val="00E14D62"/>
    <w:rsid w:val="00E1518D"/>
    <w:rsid w:val="00E16DD5"/>
    <w:rsid w:val="00E2637E"/>
    <w:rsid w:val="00E27FF9"/>
    <w:rsid w:val="00E30A44"/>
    <w:rsid w:val="00E31BDC"/>
    <w:rsid w:val="00E32246"/>
    <w:rsid w:val="00E33941"/>
    <w:rsid w:val="00E40CCE"/>
    <w:rsid w:val="00E40F90"/>
    <w:rsid w:val="00E46E11"/>
    <w:rsid w:val="00E5499E"/>
    <w:rsid w:val="00E55577"/>
    <w:rsid w:val="00E609BC"/>
    <w:rsid w:val="00E65460"/>
    <w:rsid w:val="00E65C0A"/>
    <w:rsid w:val="00E80AEA"/>
    <w:rsid w:val="00E80CE8"/>
    <w:rsid w:val="00E824A0"/>
    <w:rsid w:val="00E82FE0"/>
    <w:rsid w:val="00E87412"/>
    <w:rsid w:val="00E909C6"/>
    <w:rsid w:val="00E912E1"/>
    <w:rsid w:val="00E91F97"/>
    <w:rsid w:val="00EA3825"/>
    <w:rsid w:val="00EA5843"/>
    <w:rsid w:val="00EA741E"/>
    <w:rsid w:val="00EA7C2B"/>
    <w:rsid w:val="00EB6B32"/>
    <w:rsid w:val="00EC2F71"/>
    <w:rsid w:val="00EC4406"/>
    <w:rsid w:val="00EC5082"/>
    <w:rsid w:val="00EC6AC5"/>
    <w:rsid w:val="00ED07F6"/>
    <w:rsid w:val="00ED1C75"/>
    <w:rsid w:val="00ED288A"/>
    <w:rsid w:val="00ED762F"/>
    <w:rsid w:val="00EE0B08"/>
    <w:rsid w:val="00EE1045"/>
    <w:rsid w:val="00EE1443"/>
    <w:rsid w:val="00EE44F1"/>
    <w:rsid w:val="00EF1341"/>
    <w:rsid w:val="00EF1348"/>
    <w:rsid w:val="00EF759A"/>
    <w:rsid w:val="00F03119"/>
    <w:rsid w:val="00F05674"/>
    <w:rsid w:val="00F07038"/>
    <w:rsid w:val="00F1069C"/>
    <w:rsid w:val="00F15B35"/>
    <w:rsid w:val="00F21E22"/>
    <w:rsid w:val="00F30B62"/>
    <w:rsid w:val="00F312B7"/>
    <w:rsid w:val="00F3197A"/>
    <w:rsid w:val="00F35DDC"/>
    <w:rsid w:val="00F415AD"/>
    <w:rsid w:val="00F41A37"/>
    <w:rsid w:val="00F43152"/>
    <w:rsid w:val="00F44FB4"/>
    <w:rsid w:val="00F522BC"/>
    <w:rsid w:val="00F5559F"/>
    <w:rsid w:val="00F5594D"/>
    <w:rsid w:val="00F56D66"/>
    <w:rsid w:val="00F6092E"/>
    <w:rsid w:val="00F618A9"/>
    <w:rsid w:val="00F656F2"/>
    <w:rsid w:val="00F65C7C"/>
    <w:rsid w:val="00F8508F"/>
    <w:rsid w:val="00F903B6"/>
    <w:rsid w:val="00F93DDA"/>
    <w:rsid w:val="00F954F1"/>
    <w:rsid w:val="00F958C5"/>
    <w:rsid w:val="00FB2837"/>
    <w:rsid w:val="00FB4F9D"/>
    <w:rsid w:val="00FB5BC9"/>
    <w:rsid w:val="00FB7418"/>
    <w:rsid w:val="00FC2A6A"/>
    <w:rsid w:val="00FC6E63"/>
    <w:rsid w:val="00FD09A1"/>
    <w:rsid w:val="00FD423E"/>
    <w:rsid w:val="00FD4C58"/>
    <w:rsid w:val="00FE2BEC"/>
    <w:rsid w:val="00FE4D79"/>
    <w:rsid w:val="00FE5E64"/>
    <w:rsid w:val="00FF1ED6"/>
    <w:rsid w:val="00FF41AB"/>
    <w:rsid w:val="00FF4FE8"/>
    <w:rsid w:val="00FF5928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DD567"/>
  <w15:chartTrackingRefBased/>
  <w15:docId w15:val="{48EA5E67-C6D7-1340-BAB2-A6420004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4406"/>
  </w:style>
  <w:style w:type="character" w:customStyle="1" w:styleId="DateChar">
    <w:name w:val="Date Char"/>
    <w:basedOn w:val="DefaultParagraphFont"/>
    <w:link w:val="Date"/>
    <w:uiPriority w:val="99"/>
    <w:semiHidden/>
    <w:rsid w:val="00EC4406"/>
  </w:style>
  <w:style w:type="character" w:styleId="CommentReference">
    <w:name w:val="annotation reference"/>
    <w:basedOn w:val="DefaultParagraphFont"/>
    <w:uiPriority w:val="99"/>
    <w:semiHidden/>
    <w:unhideWhenUsed/>
    <w:rsid w:val="00BF5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8C1"/>
    <w:pPr>
      <w:spacing w:after="160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58C1"/>
    <w:rPr>
      <w:rFonts w:ascii="Times New Roman" w:eastAsiaTheme="minorHAnsi" w:hAnsi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BF58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5AD"/>
    <w:pPr>
      <w:ind w:left="720"/>
      <w:contextualSpacing/>
    </w:pPr>
  </w:style>
  <w:style w:type="table" w:styleId="TableGrid">
    <w:name w:val="Table Grid"/>
    <w:basedOn w:val="TableNormal"/>
    <w:uiPriority w:val="39"/>
    <w:rsid w:val="000F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Ruey Hu</dc:creator>
  <cp:keywords/>
  <dc:description/>
  <cp:lastModifiedBy>Hu, Jiun-Ruey</cp:lastModifiedBy>
  <cp:revision>548</cp:revision>
  <dcterms:created xsi:type="dcterms:W3CDTF">2021-06-12T01:47:00Z</dcterms:created>
  <dcterms:modified xsi:type="dcterms:W3CDTF">2021-07-27T08:36:00Z</dcterms:modified>
</cp:coreProperties>
</file>